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2694E" w14:textId="2F69284F" w:rsidR="006D3A53" w:rsidRPr="00B56577" w:rsidRDefault="006D3A53" w:rsidP="006D3A53">
      <w:pPr>
        <w:pStyle w:val="Heading1"/>
        <w:numPr>
          <w:ilvl w:val="0"/>
          <w:numId w:val="0"/>
        </w:numPr>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5327"/>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5DE4173B" w:rsidR="00156F7C" w:rsidRPr="00B56577" w:rsidRDefault="00E760E5" w:rsidP="009E63EB">
            <w:pPr>
              <w:pStyle w:val="BodyTextBold"/>
              <w:rPr>
                <w:rFonts w:ascii="Lato" w:hAnsi="Lato"/>
                <w:b w:val="0"/>
              </w:rPr>
            </w:pPr>
            <w:r>
              <w:rPr>
                <w:rFonts w:ascii="Lato" w:hAnsi="Lato"/>
                <w:b w:val="0"/>
              </w:rPr>
              <w:t>DCC</w:t>
            </w:r>
            <w:r w:rsidR="000D5C57">
              <w:rPr>
                <w:rFonts w:ascii="Lato" w:hAnsi="Lato"/>
                <w:b w:val="0"/>
              </w:rPr>
              <w:t xml:space="preserve"> consultation on the SEC </w:t>
            </w:r>
            <w:r w:rsidR="00F77892">
              <w:rPr>
                <w:rFonts w:ascii="Lato" w:hAnsi="Lato"/>
                <w:b w:val="0"/>
              </w:rPr>
              <w:t>Charging Methodology</w:t>
            </w:r>
            <w:r w:rsidR="00FF59EF" w:rsidRPr="00B56577">
              <w:rPr>
                <w:rFonts w:ascii="Lato" w:hAnsi="Lato"/>
                <w:b w:val="0"/>
              </w:rPr>
              <w:t xml:space="preserve"> </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51159490" w:rsidR="00E218D7" w:rsidRPr="00B56577" w:rsidRDefault="00CC4CD9" w:rsidP="009E63EB">
            <w:pPr>
              <w:pStyle w:val="BodyTextBold"/>
              <w:rPr>
                <w:rFonts w:ascii="Lato" w:hAnsi="Lato"/>
                <w:b w:val="0"/>
              </w:rPr>
            </w:pPr>
            <w:r>
              <w:rPr>
                <w:rFonts w:ascii="Lato" w:hAnsi="Lato"/>
                <w:b w:val="0"/>
              </w:rPr>
              <w:t>3 February 2025</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86498F" w:rsidP="0086498F">
            <w:pPr>
              <w:pStyle w:val="BodyTextBold"/>
              <w:rPr>
                <w:rFonts w:ascii="Lato" w:hAnsi="Lato"/>
                <w:b w:val="0"/>
              </w:rPr>
            </w:pPr>
            <w:hyperlink r:id="rId12" w:history="1">
              <w:r w:rsidRPr="00B56577">
                <w:rPr>
                  <w:rStyle w:val="Hyperlink"/>
                  <w:rFonts w:ascii="Lato" w:hAnsi="Lato"/>
                </w:rPr>
                <w:t>consultations@smartdcc.co.uk</w:t>
              </w:r>
            </w:hyperlink>
            <w:hyperlink r:id="rId13"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1DF8256B" w:rsidR="00F3668C" w:rsidRPr="00B56577" w:rsidRDefault="00C44B66" w:rsidP="009E63EB">
            <w:pPr>
              <w:pStyle w:val="BodyTextBold"/>
              <w:rPr>
                <w:rFonts w:ascii="Lato" w:hAnsi="Lato"/>
                <w:b w:val="0"/>
              </w:rPr>
            </w:pPr>
            <w:r>
              <w:rPr>
                <w:rFonts w:ascii="Lato" w:hAnsi="Lato"/>
                <w:b w:val="0"/>
              </w:rPr>
              <w:t>Stark</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0EC2E5C9" w:rsidR="0052508C" w:rsidRPr="00B56577" w:rsidRDefault="00C44B66" w:rsidP="009E63EB">
            <w:pPr>
              <w:pStyle w:val="BodyTextBold"/>
              <w:rPr>
                <w:rFonts w:ascii="Lato" w:hAnsi="Lato"/>
                <w:b w:val="0"/>
              </w:rPr>
            </w:pPr>
            <w:r>
              <w:rPr>
                <w:rFonts w:ascii="Lato" w:hAnsi="Lato"/>
                <w:b w:val="0"/>
              </w:rPr>
              <w:t>James Murphy</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4766E9D1" w:rsidR="0052508C" w:rsidRPr="00B56577" w:rsidRDefault="00C44B66" w:rsidP="009E63EB">
            <w:pPr>
              <w:pStyle w:val="BodyTextBold"/>
              <w:rPr>
                <w:rFonts w:ascii="Lato" w:hAnsi="Lato"/>
                <w:b w:val="0"/>
              </w:rPr>
            </w:pPr>
            <w:hyperlink r:id="rId14" w:history="1">
              <w:r w:rsidRPr="00FA1356">
                <w:rPr>
                  <w:rStyle w:val="Hyperlink"/>
                  <w:rFonts w:ascii="Lato" w:hAnsi="Lato"/>
                  <w:b w:val="0"/>
                </w:rPr>
                <w:t>jmurphy@stark.co.uk</w:t>
              </w:r>
            </w:hyperlink>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248B1545" w:rsidR="0052508C" w:rsidRPr="00B56577" w:rsidRDefault="00C44B66" w:rsidP="009E63EB">
            <w:pPr>
              <w:pStyle w:val="BodyTextBold"/>
              <w:rPr>
                <w:rFonts w:ascii="Lato" w:hAnsi="Lato"/>
                <w:b w:val="0"/>
              </w:rPr>
            </w:pPr>
            <w:r>
              <w:rPr>
                <w:rFonts w:ascii="Lato" w:hAnsi="Lato"/>
                <w:b w:val="0"/>
              </w:rPr>
              <w:t>07388376432</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FE88DB2" w:rsidR="004064E0" w:rsidRPr="00B56577" w:rsidRDefault="00DC52C9" w:rsidP="00DC52C9">
      <w:pPr>
        <w:pStyle w:val="Heading1"/>
        <w:numPr>
          <w:ilvl w:val="0"/>
          <w:numId w:val="0"/>
        </w:numPr>
        <w:ind w:left="848" w:hanging="848"/>
        <w:rPr>
          <w:rFonts w:ascii="Lato" w:hAnsi="Lato"/>
        </w:rPr>
      </w:pPr>
      <w:r w:rsidRPr="00B56577">
        <w:rPr>
          <w:rFonts w:ascii="Lato" w:hAnsi="Lato"/>
        </w:rPr>
        <w:lastRenderedPageBreak/>
        <w:t>R</w:t>
      </w:r>
      <w:r w:rsidR="004064E0" w:rsidRPr="00B56577">
        <w:rPr>
          <w:rFonts w:ascii="Lato" w:hAnsi="Lato"/>
        </w:rPr>
        <w:t>esponses to the consultation questions</w:t>
      </w:r>
      <w:r w:rsidR="00DE289C" w:rsidRPr="00B56577">
        <w:rPr>
          <w:rFonts w:ascii="Lato" w:hAnsi="Lato"/>
        </w:rPr>
        <w:t xml:space="preserve"> </w:t>
      </w:r>
      <w:bookmarkEnd w:id="0"/>
    </w:p>
    <w:tbl>
      <w:tblPr>
        <w:tblStyle w:val="TableTemplate1"/>
        <w:tblW w:w="0" w:type="auto"/>
        <w:tblLook w:val="04A0" w:firstRow="1" w:lastRow="0" w:firstColumn="1" w:lastColumn="0" w:noHBand="0" w:noVBand="1"/>
      </w:tblPr>
      <w:tblGrid>
        <w:gridCol w:w="1019"/>
        <w:gridCol w:w="6367"/>
        <w:gridCol w:w="6552"/>
      </w:tblGrid>
      <w:tr w:rsidR="00A33505" w:rsidRPr="00B56577" w14:paraId="3E2A3BAD" w14:textId="77777777" w:rsidTr="00133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7A439306" w:rsidR="00674D62" w:rsidRPr="00B56577" w:rsidRDefault="004B2C0E" w:rsidP="00FE755A">
            <w:pPr>
              <w:pStyle w:val="TableText-Left"/>
              <w:spacing w:line="276" w:lineRule="auto"/>
              <w:jc w:val="center"/>
              <w:rPr>
                <w:rFonts w:ascii="Lato" w:hAnsi="Lato"/>
              </w:rPr>
            </w:pPr>
            <w:r w:rsidRPr="00B56577">
              <w:rPr>
                <w:rFonts w:ascii="Lato" w:hAnsi="Lato"/>
              </w:rPr>
              <w:t>Numb</w:t>
            </w:r>
            <w:r w:rsidR="00133633">
              <w:rPr>
                <w:rFonts w:ascii="Lato" w:hAnsi="Lato"/>
              </w:rPr>
              <w:t>er</w:t>
            </w:r>
          </w:p>
        </w:tc>
        <w:tc>
          <w:tcPr>
            <w:tcW w:w="0" w:type="auto"/>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0" w:type="auto"/>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A33505" w:rsidRPr="00B56577" w14:paraId="72511565" w14:textId="77777777" w:rsidTr="00133633">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0" w:type="auto"/>
            <w:vAlign w:val="center"/>
          </w:tcPr>
          <w:p w14:paraId="2E8CAFFB" w14:textId="6BC53BE7"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updating the weighting factors used to apply charges for core Users (Energy Suppliers and Electricity Network Operators)? Please provide your rationale.</w:t>
            </w:r>
          </w:p>
        </w:tc>
        <w:tc>
          <w:tcPr>
            <w:tcW w:w="0" w:type="auto"/>
            <w:vAlign w:val="center"/>
          </w:tcPr>
          <w:p w14:paraId="46CD0AAB" w14:textId="77777777" w:rsidR="00F60308" w:rsidRDefault="00F60308"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p>
          <w:p w14:paraId="1E1E3FE9" w14:textId="77777777" w:rsidR="00F60308" w:rsidRDefault="00F60308"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6647FA10" w14:textId="03E9C775" w:rsidR="00312F3A" w:rsidRPr="00B56577" w:rsidRDefault="00994FE0"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If all costs are ultimately recovered from </w:t>
            </w:r>
            <w:r w:rsidR="00450937">
              <w:rPr>
                <w:rFonts w:ascii="Lato" w:hAnsi="Lato"/>
              </w:rPr>
              <w:t>C</w:t>
            </w:r>
            <w:r w:rsidR="00CD126E">
              <w:rPr>
                <w:rFonts w:ascii="Lato" w:hAnsi="Lato"/>
              </w:rPr>
              <w:t xml:space="preserve">onsumers via the </w:t>
            </w:r>
            <w:r w:rsidR="00221F71">
              <w:rPr>
                <w:rFonts w:ascii="Lato" w:hAnsi="Lato"/>
              </w:rPr>
              <w:t>Supplier,</w:t>
            </w:r>
            <w:r w:rsidR="00CD126E">
              <w:rPr>
                <w:rFonts w:ascii="Lato" w:hAnsi="Lato"/>
              </w:rPr>
              <w:t xml:space="preserve"> then changes to weighting factors make little difference</w:t>
            </w:r>
            <w:r w:rsidR="00AC1852">
              <w:rPr>
                <w:rFonts w:ascii="Lato" w:hAnsi="Lato"/>
              </w:rPr>
              <w:t xml:space="preserve">. If </w:t>
            </w:r>
            <w:r w:rsidR="00A72AE3">
              <w:rPr>
                <w:rFonts w:ascii="Lato" w:hAnsi="Lato"/>
              </w:rPr>
              <w:t>Network Operators</w:t>
            </w:r>
            <w:r w:rsidR="00AC1852">
              <w:rPr>
                <w:rFonts w:ascii="Lato" w:hAnsi="Lato"/>
              </w:rPr>
              <w:t xml:space="preserve"> pay higher DCC Charges</w:t>
            </w:r>
            <w:r w:rsidR="00450937">
              <w:rPr>
                <w:rFonts w:ascii="Lato" w:hAnsi="Lato"/>
              </w:rPr>
              <w:t>,</w:t>
            </w:r>
            <w:r w:rsidR="00AC1852">
              <w:rPr>
                <w:rFonts w:ascii="Lato" w:hAnsi="Lato"/>
              </w:rPr>
              <w:t xml:space="preserve"> then Suppliers will pay higher DUOS charges</w:t>
            </w:r>
            <w:r w:rsidR="00450937">
              <w:rPr>
                <w:rFonts w:ascii="Lato" w:hAnsi="Lato"/>
              </w:rPr>
              <w:t>, which they will recover from Consumers</w:t>
            </w:r>
            <w:r w:rsidR="0080597C">
              <w:rPr>
                <w:rFonts w:ascii="Lato" w:hAnsi="Lato"/>
              </w:rPr>
              <w:t xml:space="preserve">. </w:t>
            </w:r>
            <w:r w:rsidR="00DE32B8">
              <w:rPr>
                <w:rFonts w:ascii="Lato" w:hAnsi="Lato"/>
              </w:rPr>
              <w:t xml:space="preserve">This suggests that the </w:t>
            </w:r>
            <w:r w:rsidR="00FF559D">
              <w:rPr>
                <w:rFonts w:ascii="Lato" w:hAnsi="Lato"/>
              </w:rPr>
              <w:t xml:space="preserve">entire principle of weighting factors </w:t>
            </w:r>
            <w:r w:rsidR="008C146B">
              <w:rPr>
                <w:rFonts w:ascii="Lato" w:hAnsi="Lato"/>
              </w:rPr>
              <w:t>is not</w:t>
            </w:r>
            <w:r w:rsidR="00FF559D">
              <w:rPr>
                <w:rFonts w:ascii="Lato" w:hAnsi="Lato"/>
              </w:rPr>
              <w:t xml:space="preserve"> </w:t>
            </w:r>
            <w:r w:rsidR="009F7CEC">
              <w:rPr>
                <w:rFonts w:ascii="Lato" w:hAnsi="Lato"/>
              </w:rPr>
              <w:t>suitable,</w:t>
            </w:r>
            <w:r w:rsidR="00FF559D">
              <w:rPr>
                <w:rFonts w:ascii="Lato" w:hAnsi="Lato"/>
              </w:rPr>
              <w:t xml:space="preserve"> and Suppliers should </w:t>
            </w:r>
            <w:r w:rsidR="000923C3">
              <w:rPr>
                <w:rFonts w:ascii="Lato" w:hAnsi="Lato"/>
              </w:rPr>
              <w:t>pay all DCC Charges</w:t>
            </w:r>
            <w:r w:rsidR="005E4E69">
              <w:rPr>
                <w:rFonts w:ascii="Lato" w:hAnsi="Lato"/>
              </w:rPr>
              <w:t xml:space="preserve"> as they </w:t>
            </w:r>
            <w:r w:rsidR="001D638B">
              <w:rPr>
                <w:rFonts w:ascii="Lato" w:hAnsi="Lato"/>
              </w:rPr>
              <w:t xml:space="preserve">are the only party with a defined and guaranteed </w:t>
            </w:r>
            <w:r w:rsidR="006A7C12">
              <w:rPr>
                <w:rFonts w:ascii="Lato" w:hAnsi="Lato"/>
              </w:rPr>
              <w:t>way to recover these costs directly from Consumers.</w:t>
            </w:r>
          </w:p>
        </w:tc>
      </w:tr>
      <w:tr w:rsidR="00A33505" w:rsidRPr="00B56577" w14:paraId="1746CC52" w14:textId="2BBE4DE6"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t>Q2</w:t>
            </w:r>
          </w:p>
        </w:tc>
        <w:tc>
          <w:tcPr>
            <w:tcW w:w="0" w:type="auto"/>
            <w:vAlign w:val="center"/>
          </w:tcPr>
          <w:p w14:paraId="4A576EE9" w14:textId="18FD3E0B"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Would re-weighting Fixed Charges impact how Energy Suppliers and Electricity Network Operators use the DCC network? If so, do you have any suggestions on how else DCC could continue to support efficient use of the DCC network? Please provide your rationale and include evidence to support this where possible.</w:t>
            </w:r>
          </w:p>
        </w:tc>
        <w:tc>
          <w:tcPr>
            <w:tcW w:w="0" w:type="auto"/>
            <w:vAlign w:val="center"/>
          </w:tcPr>
          <w:p w14:paraId="3CEC3CED" w14:textId="7787451A" w:rsidR="007152DA" w:rsidRDefault="007152DA"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p>
          <w:p w14:paraId="21DDAD8A" w14:textId="77777777" w:rsidR="007152DA" w:rsidRDefault="007152DA"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3EBF2CF3" w14:textId="625A4A96" w:rsidR="00312F3A" w:rsidRPr="00B56577" w:rsidRDefault="00FE3AF2"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Fixed Charges approach </w:t>
            </w:r>
            <w:r w:rsidR="00553DF7">
              <w:rPr>
                <w:rFonts w:ascii="Lato" w:hAnsi="Lato"/>
              </w:rPr>
              <w:t>means a User is incentivised to utilise the DCC network as heavily as possible</w:t>
            </w:r>
            <w:r w:rsidR="00D92887">
              <w:rPr>
                <w:rFonts w:ascii="Lato" w:hAnsi="Lato"/>
              </w:rPr>
              <w:t xml:space="preserve">. Changes to </w:t>
            </w:r>
            <w:r w:rsidR="005F5ABE">
              <w:rPr>
                <w:rFonts w:ascii="Lato" w:hAnsi="Lato"/>
              </w:rPr>
              <w:t xml:space="preserve">weighting factors </w:t>
            </w:r>
            <w:r w:rsidR="00314C56">
              <w:rPr>
                <w:rFonts w:ascii="Lato" w:hAnsi="Lato"/>
              </w:rPr>
              <w:t>will have little impact on this.</w:t>
            </w:r>
          </w:p>
        </w:tc>
      </w:tr>
      <w:tr w:rsidR="00A33505" w:rsidRPr="00B56577" w14:paraId="4DEEDB5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327886" w14:textId="18983FDB"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Q3</w:t>
            </w:r>
          </w:p>
        </w:tc>
        <w:tc>
          <w:tcPr>
            <w:tcW w:w="0" w:type="auto"/>
            <w:vAlign w:val="center"/>
          </w:tcPr>
          <w:p w14:paraId="13464F00" w14:textId="35D852D8"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distributional impact for end consumers of re-weighting Fixed Charges? Please provide reasons for your response and include evidence to support this where possible.</w:t>
            </w:r>
          </w:p>
        </w:tc>
        <w:tc>
          <w:tcPr>
            <w:tcW w:w="0" w:type="auto"/>
            <w:vAlign w:val="center"/>
          </w:tcPr>
          <w:p w14:paraId="15458743" w14:textId="34BB7CB3" w:rsidR="00F60308" w:rsidRDefault="00D95F7B"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r w:rsidR="00F60308">
              <w:rPr>
                <w:rFonts w:ascii="Lato" w:hAnsi="Lato"/>
              </w:rPr>
              <w:t>.</w:t>
            </w:r>
            <w:r w:rsidR="00D06B23">
              <w:rPr>
                <w:rFonts w:ascii="Lato" w:hAnsi="Lato"/>
              </w:rPr>
              <w:t xml:space="preserve"> </w:t>
            </w:r>
          </w:p>
          <w:p w14:paraId="33692AB0" w14:textId="77777777" w:rsidR="00953CD9" w:rsidRDefault="00953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B516DD2" w14:textId="173A36F2" w:rsidR="007E7B4E" w:rsidRPr="00B56577" w:rsidRDefault="00F60308"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w:t>
            </w:r>
            <w:r w:rsidR="00D06B23">
              <w:rPr>
                <w:rFonts w:ascii="Lato" w:hAnsi="Lato"/>
              </w:rPr>
              <w:t xml:space="preserve">he same amount of charges </w:t>
            </w:r>
            <w:r w:rsidR="00F30813">
              <w:rPr>
                <w:rFonts w:ascii="Lato" w:hAnsi="Lato"/>
              </w:rPr>
              <w:t>will</w:t>
            </w:r>
            <w:r w:rsidR="00D06B23">
              <w:rPr>
                <w:rFonts w:ascii="Lato" w:hAnsi="Lato"/>
              </w:rPr>
              <w:t xml:space="preserve"> still </w:t>
            </w:r>
            <w:r w:rsidR="00F30813">
              <w:rPr>
                <w:rFonts w:ascii="Lato" w:hAnsi="Lato"/>
              </w:rPr>
              <w:t xml:space="preserve">be </w:t>
            </w:r>
            <w:r w:rsidR="00D06B23">
              <w:rPr>
                <w:rFonts w:ascii="Lato" w:hAnsi="Lato"/>
              </w:rPr>
              <w:t xml:space="preserve">recovered </w:t>
            </w:r>
            <w:r w:rsidR="00FD55D2">
              <w:rPr>
                <w:rFonts w:ascii="Lato" w:hAnsi="Lato"/>
              </w:rPr>
              <w:t xml:space="preserve">from Consumers </w:t>
            </w:r>
            <w:r w:rsidR="00D06B23">
              <w:rPr>
                <w:rFonts w:ascii="Lato" w:hAnsi="Lato"/>
              </w:rPr>
              <w:t xml:space="preserve">via the Supplier, regardless </w:t>
            </w:r>
            <w:r w:rsidR="00D95F7B">
              <w:rPr>
                <w:rFonts w:ascii="Lato" w:hAnsi="Lato"/>
              </w:rPr>
              <w:t xml:space="preserve">of </w:t>
            </w:r>
            <w:r w:rsidR="00D06B23">
              <w:rPr>
                <w:rFonts w:ascii="Lato" w:hAnsi="Lato"/>
              </w:rPr>
              <w:t xml:space="preserve">whether they are initially allocated to </w:t>
            </w:r>
            <w:r w:rsidR="00624486">
              <w:rPr>
                <w:rFonts w:ascii="Lato" w:hAnsi="Lato"/>
              </w:rPr>
              <w:t xml:space="preserve">the </w:t>
            </w:r>
            <w:r w:rsidR="00D06B23">
              <w:rPr>
                <w:rFonts w:ascii="Lato" w:hAnsi="Lato"/>
              </w:rPr>
              <w:t>Supplier o</w:t>
            </w:r>
            <w:r w:rsidR="005D403D">
              <w:rPr>
                <w:rFonts w:ascii="Lato" w:hAnsi="Lato"/>
              </w:rPr>
              <w:t>r</w:t>
            </w:r>
            <w:r w:rsidR="00D06B23">
              <w:rPr>
                <w:rFonts w:ascii="Lato" w:hAnsi="Lato"/>
              </w:rPr>
              <w:t xml:space="preserve"> Network Operator</w:t>
            </w:r>
            <w:r w:rsidR="00512732">
              <w:rPr>
                <w:rFonts w:ascii="Lato" w:hAnsi="Lato"/>
              </w:rPr>
              <w:t>. The assessment correctly identifies that</w:t>
            </w:r>
            <w:r w:rsidR="00C02597">
              <w:rPr>
                <w:rFonts w:ascii="Lato" w:hAnsi="Lato"/>
              </w:rPr>
              <w:t xml:space="preserve"> DUOS Charges are applied to non-DCC enrolled sites</w:t>
            </w:r>
            <w:r w:rsidR="00E30FB8">
              <w:rPr>
                <w:rFonts w:ascii="Lato" w:hAnsi="Lato"/>
              </w:rPr>
              <w:t>.</w:t>
            </w:r>
            <w:r w:rsidR="00DB72C0">
              <w:rPr>
                <w:rFonts w:ascii="Lato" w:hAnsi="Lato"/>
              </w:rPr>
              <w:t xml:space="preserve"> </w:t>
            </w:r>
            <w:r w:rsidR="00C7022F">
              <w:rPr>
                <w:rFonts w:ascii="Lato" w:hAnsi="Lato"/>
              </w:rPr>
              <w:t>Increasing DCC charges to Network Operators could increase DUOS charges for consumers that do not have DCC-enrolled SMETS meters.</w:t>
            </w:r>
            <w:r w:rsidR="009D093A">
              <w:rPr>
                <w:rFonts w:ascii="Lato" w:hAnsi="Lato"/>
              </w:rPr>
              <w:t xml:space="preserve"> This </w:t>
            </w:r>
            <w:r w:rsidR="00FE42A4">
              <w:rPr>
                <w:rFonts w:ascii="Lato" w:hAnsi="Lato"/>
              </w:rPr>
              <w:t>is a clear negative impact.</w:t>
            </w:r>
            <w:r w:rsidR="0012046B">
              <w:rPr>
                <w:rFonts w:ascii="Lato" w:hAnsi="Lato"/>
              </w:rPr>
              <w:t xml:space="preserve"> </w:t>
            </w:r>
            <w:r w:rsidR="00475FE7">
              <w:rPr>
                <w:rFonts w:ascii="Lato" w:hAnsi="Lato"/>
              </w:rPr>
              <w:t>Changes to DCUSA would be required to ensure DCC Charge recovery is only allocated to LV DUOS tariffs</w:t>
            </w:r>
            <w:r w:rsidR="00FE42A4">
              <w:rPr>
                <w:rFonts w:ascii="Lato" w:hAnsi="Lato"/>
              </w:rPr>
              <w:t xml:space="preserve"> to avoid this</w:t>
            </w:r>
            <w:r w:rsidR="00475FE7">
              <w:rPr>
                <w:rFonts w:ascii="Lato" w:hAnsi="Lato"/>
              </w:rPr>
              <w:t xml:space="preserve">. </w:t>
            </w:r>
          </w:p>
        </w:tc>
      </w:tr>
      <w:tr w:rsidR="00A33505" w:rsidRPr="00B56577" w14:paraId="56212A37"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2B52E0" w14:textId="770B08C7"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Q4</w:t>
            </w:r>
          </w:p>
        </w:tc>
        <w:tc>
          <w:tcPr>
            <w:tcW w:w="0" w:type="auto"/>
            <w:vAlign w:val="center"/>
          </w:tcPr>
          <w:p w14:paraId="40173BF5" w14:textId="19E49F57"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introducing charges for Other Users? Please provide your rationale.</w:t>
            </w:r>
          </w:p>
        </w:tc>
        <w:tc>
          <w:tcPr>
            <w:tcW w:w="0" w:type="auto"/>
            <w:vAlign w:val="center"/>
          </w:tcPr>
          <w:p w14:paraId="3A72E296" w14:textId="77777777" w:rsidR="000829E8" w:rsidRDefault="000829E8" w:rsidP="000829E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No. </w:t>
            </w:r>
          </w:p>
          <w:p w14:paraId="646B6E8E" w14:textId="77777777" w:rsidR="000829E8" w:rsidRDefault="000829E8" w:rsidP="000829E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56640503" w14:textId="087D242B" w:rsidR="004225D0" w:rsidRPr="00B56577" w:rsidRDefault="000829E8" w:rsidP="000829E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same amount of charges will still be recovered from Consumers via the Supplier, regardless of whether they are initially allocated to the Supplier or Network Operator. The assessment correctly identifies that DUOS Charges are applied to non-DCC enrolled sites. Increasing DCC charges to Network Operators could increase DUOS charges for consumers that do not have DCC-enrolled SMETS meters. This is a clear negative impact. Changes to DCUSA would be required to ensure DCC Charge recovery is only allocated to LV DUOS tariffs to avoid this.</w:t>
            </w:r>
          </w:p>
        </w:tc>
      </w:tr>
      <w:tr w:rsidR="00A33505" w:rsidRPr="00B56577" w14:paraId="0B0C51BA"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7F8590" w14:textId="693D6DF3"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Q5</w:t>
            </w:r>
          </w:p>
        </w:tc>
        <w:tc>
          <w:tcPr>
            <w:tcW w:w="0" w:type="auto"/>
            <w:vAlign w:val="center"/>
          </w:tcPr>
          <w:p w14:paraId="2B339066" w14:textId="01E30C13"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using a Short Run Incremental Cost (SRIC) approach is the most appropriate, at this stage, for calculating a unit rate to charge Other Users? Please provide your rationale.</w:t>
            </w:r>
          </w:p>
        </w:tc>
        <w:tc>
          <w:tcPr>
            <w:tcW w:w="0" w:type="auto"/>
            <w:vAlign w:val="center"/>
          </w:tcPr>
          <w:p w14:paraId="2F24F3E7" w14:textId="77777777" w:rsidR="00CC4CD9" w:rsidRDefault="00FC43D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p>
          <w:p w14:paraId="4448EB69" w14:textId="77777777" w:rsidR="00953CD9" w:rsidRDefault="00953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11FBF4B8" w14:textId="27542F26" w:rsidR="008F60D8" w:rsidRDefault="008F60D8"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do not agree that charges for OUs should be introduced.</w:t>
            </w:r>
            <w:r w:rsidR="00D75DBB">
              <w:rPr>
                <w:rFonts w:ascii="Lato" w:hAnsi="Lato"/>
              </w:rPr>
              <w:t xml:space="preserve"> This approach would assume that valid and complete data is </w:t>
            </w:r>
            <w:r w:rsidR="0051120E">
              <w:rPr>
                <w:rFonts w:ascii="Lato" w:hAnsi="Lato"/>
              </w:rPr>
              <w:t>returned for every service request.</w:t>
            </w:r>
            <w:r w:rsidR="00A2054B">
              <w:rPr>
                <w:rFonts w:ascii="Lato" w:hAnsi="Lato"/>
              </w:rPr>
              <w:t xml:space="preserve"> It also assumes that DCC </w:t>
            </w:r>
            <w:r w:rsidR="00EC221B">
              <w:rPr>
                <w:rFonts w:ascii="Lato" w:hAnsi="Lato"/>
              </w:rPr>
              <w:t>fault detection</w:t>
            </w:r>
            <w:r w:rsidR="001D7EFB">
              <w:rPr>
                <w:rFonts w:ascii="Lato" w:hAnsi="Lato"/>
              </w:rPr>
              <w:t>, assessment and resolution is</w:t>
            </w:r>
            <w:r w:rsidR="00A24E83">
              <w:rPr>
                <w:rFonts w:ascii="Lato" w:hAnsi="Lato"/>
              </w:rPr>
              <w:t xml:space="preserve"> </w:t>
            </w:r>
            <w:r w:rsidR="003C4D10">
              <w:rPr>
                <w:rFonts w:ascii="Lato" w:hAnsi="Lato"/>
              </w:rPr>
              <w:t>adequate.</w:t>
            </w:r>
            <w:r w:rsidR="00495B07">
              <w:rPr>
                <w:rFonts w:ascii="Lato" w:hAnsi="Lato"/>
              </w:rPr>
              <w:t xml:space="preserve"> </w:t>
            </w:r>
            <w:r w:rsidR="00A33505">
              <w:rPr>
                <w:rFonts w:ascii="Lato" w:hAnsi="Lato"/>
              </w:rPr>
              <w:t>3.7m non-communicating Smart meters</w:t>
            </w:r>
            <w:r w:rsidR="00A4028B">
              <w:rPr>
                <w:rFonts w:ascii="Lato" w:hAnsi="Lato"/>
              </w:rPr>
              <w:t>, 11% of all Smart meters,</w:t>
            </w:r>
            <w:r w:rsidR="00A33505">
              <w:rPr>
                <w:rFonts w:ascii="Lato" w:hAnsi="Lato"/>
              </w:rPr>
              <w:t xml:space="preserve"> suggests </w:t>
            </w:r>
            <w:r w:rsidR="00A4028B">
              <w:rPr>
                <w:rFonts w:ascii="Lato" w:hAnsi="Lato"/>
              </w:rPr>
              <w:t xml:space="preserve">that </w:t>
            </w:r>
            <w:r w:rsidR="00847217">
              <w:rPr>
                <w:rFonts w:ascii="Lato" w:hAnsi="Lato"/>
              </w:rPr>
              <w:t>this is not the case.</w:t>
            </w:r>
            <w:r w:rsidR="00A4028B">
              <w:rPr>
                <w:rFonts w:ascii="Lato" w:hAnsi="Lato"/>
              </w:rPr>
              <w:t xml:space="preserve"> Moreover, </w:t>
            </w:r>
            <w:r w:rsidR="006D4C4A">
              <w:rPr>
                <w:rFonts w:ascii="Lato" w:hAnsi="Lato"/>
              </w:rPr>
              <w:t xml:space="preserve">it is not clear that the cost of counting the service request is less that the service request itself, which </w:t>
            </w:r>
            <w:r w:rsidR="00686417">
              <w:rPr>
                <w:rFonts w:ascii="Lato" w:hAnsi="Lato"/>
              </w:rPr>
              <w:t>an SRIC approach assumes.</w:t>
            </w:r>
          </w:p>
          <w:p w14:paraId="74375D89" w14:textId="11F8A7E2" w:rsidR="00FC43D5" w:rsidRPr="00B56577" w:rsidRDefault="00FC43D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A33505" w:rsidRPr="00B56577" w14:paraId="320DA4F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A53F1" w14:textId="1EE15E9A"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Q6</w:t>
            </w:r>
          </w:p>
        </w:tc>
        <w:tc>
          <w:tcPr>
            <w:tcW w:w="0" w:type="auto"/>
            <w:vAlign w:val="center"/>
          </w:tcPr>
          <w:p w14:paraId="358322D0" w14:textId="110F23D0"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differentiated based on scheduled and on demand messages? Please provide your rationale.</w:t>
            </w:r>
          </w:p>
        </w:tc>
        <w:tc>
          <w:tcPr>
            <w:tcW w:w="0" w:type="auto"/>
            <w:vAlign w:val="center"/>
          </w:tcPr>
          <w:p w14:paraId="1CE780F0" w14:textId="45A54AFE" w:rsidR="00CC4CD9" w:rsidRDefault="00FC43D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p>
          <w:p w14:paraId="77A6796B" w14:textId="77777777" w:rsidR="00953CD9" w:rsidRPr="00B56577" w:rsidRDefault="00953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2DB4C60" w14:textId="08F15FA6" w:rsidR="00CC4CD9" w:rsidRPr="00B56577" w:rsidRDefault="00820A56"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Due to the competition concerns outlined in our response to Q4, w</w:t>
            </w:r>
            <w:r w:rsidR="00923F0F">
              <w:rPr>
                <w:rFonts w:ascii="Lato" w:hAnsi="Lato"/>
              </w:rPr>
              <w:t>e do not agree that charges for OUs should be introduced.</w:t>
            </w:r>
            <w:r w:rsidR="00413146">
              <w:rPr>
                <w:rFonts w:ascii="Lato" w:hAnsi="Lato"/>
              </w:rPr>
              <w:t xml:space="preserve"> T</w:t>
            </w:r>
            <w:r w:rsidR="009B2CA9">
              <w:rPr>
                <w:rFonts w:ascii="Lato" w:hAnsi="Lato"/>
              </w:rPr>
              <w:t xml:space="preserve">he DCC should flex its network in response to </w:t>
            </w:r>
            <w:r w:rsidR="00321BFA">
              <w:rPr>
                <w:rFonts w:ascii="Lato" w:hAnsi="Lato"/>
              </w:rPr>
              <w:t xml:space="preserve">demand and facilitate </w:t>
            </w:r>
            <w:r w:rsidR="00C66665">
              <w:rPr>
                <w:rFonts w:ascii="Lato" w:hAnsi="Lato"/>
              </w:rPr>
              <w:t xml:space="preserve">unfettered access to Smart meter data </w:t>
            </w:r>
            <w:r w:rsidR="00FD3F2A">
              <w:rPr>
                <w:rFonts w:ascii="Lato" w:hAnsi="Lato"/>
              </w:rPr>
              <w:t>to any organisation that has successfully onboarded as a DCC User.</w:t>
            </w:r>
            <w:r w:rsidR="004D4AEE">
              <w:rPr>
                <w:rFonts w:ascii="Lato" w:hAnsi="Lato"/>
              </w:rPr>
              <w:t xml:space="preserve"> We would welcome some analysis that demonstrates </w:t>
            </w:r>
            <w:r w:rsidR="004976CF">
              <w:rPr>
                <w:rFonts w:ascii="Lato" w:hAnsi="Lato"/>
              </w:rPr>
              <w:t xml:space="preserve">On-Demand messages incur a greater cost to DCC vs Scheduled. </w:t>
            </w:r>
          </w:p>
        </w:tc>
      </w:tr>
      <w:tr w:rsidR="00A33505" w:rsidRPr="00B56577" w14:paraId="42D9B660"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0D038E" w14:textId="0A0A9964"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Q7</w:t>
            </w:r>
          </w:p>
        </w:tc>
        <w:tc>
          <w:tcPr>
            <w:tcW w:w="0" w:type="auto"/>
            <w:vAlign w:val="center"/>
          </w:tcPr>
          <w:p w14:paraId="584E350D" w14:textId="4FC71B45"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used to reduce Core User Fixed charges, and with the proposed approach for doing so? Please provide your rationale.</w:t>
            </w:r>
          </w:p>
        </w:tc>
        <w:tc>
          <w:tcPr>
            <w:tcW w:w="0" w:type="auto"/>
            <w:vAlign w:val="center"/>
          </w:tcPr>
          <w:p w14:paraId="67840447" w14:textId="3CA44952" w:rsidR="00CC4CD9" w:rsidRDefault="00EA136E"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r w:rsidR="00FC43D5">
              <w:rPr>
                <w:rFonts w:ascii="Lato" w:hAnsi="Lato"/>
              </w:rPr>
              <w:t>.</w:t>
            </w:r>
          </w:p>
          <w:p w14:paraId="6277E208" w14:textId="77777777" w:rsidR="00953CD9" w:rsidRDefault="00953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4B562517" w14:textId="0B7AD55C" w:rsidR="004F1B75" w:rsidRPr="00B56577" w:rsidRDefault="0053429C"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not seen compelling evidence that </w:t>
            </w:r>
            <w:r w:rsidR="00970A15">
              <w:rPr>
                <w:rFonts w:ascii="Lato" w:hAnsi="Lato"/>
              </w:rPr>
              <w:t xml:space="preserve">Fixed Charges are </w:t>
            </w:r>
            <w:r w:rsidR="009C2CF1">
              <w:rPr>
                <w:rFonts w:ascii="Lato" w:hAnsi="Lato"/>
              </w:rPr>
              <w:t xml:space="preserve">sufficiently </w:t>
            </w:r>
            <w:r w:rsidR="00970A15">
              <w:rPr>
                <w:rFonts w:ascii="Lato" w:hAnsi="Lato"/>
              </w:rPr>
              <w:t>influenced by OU actions</w:t>
            </w:r>
            <w:r w:rsidR="009C2CF1">
              <w:rPr>
                <w:rFonts w:ascii="Lato" w:hAnsi="Lato"/>
              </w:rPr>
              <w:t xml:space="preserve"> to justify this</w:t>
            </w:r>
            <w:r w:rsidR="00970A15">
              <w:rPr>
                <w:rFonts w:ascii="Lato" w:hAnsi="Lato"/>
              </w:rPr>
              <w:t xml:space="preserve">. </w:t>
            </w:r>
            <w:r w:rsidR="00B316C1">
              <w:rPr>
                <w:rFonts w:ascii="Lato" w:hAnsi="Lato"/>
              </w:rPr>
              <w:t xml:space="preserve">There are various aspects of the DCC System that generate cost that </w:t>
            </w:r>
            <w:r w:rsidR="00531E1B">
              <w:rPr>
                <w:rFonts w:ascii="Lato" w:hAnsi="Lato"/>
              </w:rPr>
              <w:t>are entirely out of scope for OUs and do not benefit the</w:t>
            </w:r>
            <w:r w:rsidR="00741C3A">
              <w:rPr>
                <w:rFonts w:ascii="Lato" w:hAnsi="Lato"/>
              </w:rPr>
              <w:t>m</w:t>
            </w:r>
            <w:r w:rsidR="00531E1B">
              <w:rPr>
                <w:rFonts w:ascii="Lato" w:hAnsi="Lato"/>
              </w:rPr>
              <w:t>.</w:t>
            </w:r>
            <w:r w:rsidR="00741C3A">
              <w:rPr>
                <w:rFonts w:ascii="Lato" w:hAnsi="Lato"/>
              </w:rPr>
              <w:t xml:space="preserve"> </w:t>
            </w:r>
            <w:r w:rsidR="000C0958">
              <w:rPr>
                <w:rFonts w:ascii="Lato" w:hAnsi="Lato"/>
              </w:rPr>
              <w:t>Therefore, any use of OU charges to reduce Fixed Charges is inappropriate and no</w:t>
            </w:r>
            <w:r w:rsidR="005864F3">
              <w:rPr>
                <w:rFonts w:ascii="Lato" w:hAnsi="Lato"/>
              </w:rPr>
              <w:t>t</w:t>
            </w:r>
            <w:r w:rsidR="000C0958">
              <w:rPr>
                <w:rFonts w:ascii="Lato" w:hAnsi="Lato"/>
              </w:rPr>
              <w:t xml:space="preserve"> cost reflective.</w:t>
            </w:r>
          </w:p>
        </w:tc>
      </w:tr>
      <w:tr w:rsidR="00A33505" w:rsidRPr="00B56577" w14:paraId="456BD11E"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F59786" w14:textId="6FB17F85"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Q8</w:t>
            </w:r>
          </w:p>
        </w:tc>
        <w:tc>
          <w:tcPr>
            <w:tcW w:w="0" w:type="auto"/>
            <w:vAlign w:val="center"/>
          </w:tcPr>
          <w:p w14:paraId="7FC29DD5" w14:textId="01131612"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impact of introducing variable charges for Other Users? Do you have any concerns around the impact of this change, and if so, can you provide views on how it can be mitigated? Please provide reasons for your response and include evidence to support this where possible.</w:t>
            </w:r>
          </w:p>
        </w:tc>
        <w:tc>
          <w:tcPr>
            <w:tcW w:w="0" w:type="auto"/>
            <w:vAlign w:val="center"/>
          </w:tcPr>
          <w:p w14:paraId="75A3478C" w14:textId="77777777" w:rsidR="00CC4CD9" w:rsidRDefault="00A8666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p>
          <w:p w14:paraId="77D7BE98" w14:textId="77777777" w:rsidR="00953CD9" w:rsidRDefault="00953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682DF062" w14:textId="29BA8225" w:rsidR="00A8666F" w:rsidRPr="00B56577" w:rsidRDefault="003A59FB"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business case for becoming an OU </w:t>
            </w:r>
            <w:r w:rsidR="00FB3CF6">
              <w:rPr>
                <w:rFonts w:ascii="Lato" w:hAnsi="Lato"/>
              </w:rPr>
              <w:t xml:space="preserve">is already </w:t>
            </w:r>
            <w:r w:rsidR="00FD2F9A">
              <w:rPr>
                <w:rFonts w:ascii="Lato" w:hAnsi="Lato"/>
              </w:rPr>
              <w:t>untenable</w:t>
            </w:r>
            <w:r w:rsidR="00552E63">
              <w:rPr>
                <w:rFonts w:ascii="Lato" w:hAnsi="Lato"/>
              </w:rPr>
              <w:t xml:space="preserve">, increasing costs </w:t>
            </w:r>
            <w:r w:rsidR="00EF2AA5">
              <w:rPr>
                <w:rFonts w:ascii="Lato" w:hAnsi="Lato"/>
              </w:rPr>
              <w:t xml:space="preserve">will only amplify this and block innovation and competition. </w:t>
            </w:r>
            <w:r w:rsidR="00A8666F">
              <w:rPr>
                <w:rFonts w:ascii="Lato" w:hAnsi="Lato"/>
              </w:rPr>
              <w:t xml:space="preserve">The assessment </w:t>
            </w:r>
            <w:r w:rsidR="00D120CD">
              <w:rPr>
                <w:rFonts w:ascii="Lato" w:hAnsi="Lato"/>
              </w:rPr>
              <w:t xml:space="preserve">also </w:t>
            </w:r>
            <w:r w:rsidR="00A8666F">
              <w:rPr>
                <w:rFonts w:ascii="Lato" w:hAnsi="Lato"/>
              </w:rPr>
              <w:t xml:space="preserve">does not take into consideration the impact to existing contracts between OUs and their customers. </w:t>
            </w:r>
          </w:p>
        </w:tc>
      </w:tr>
      <w:tr w:rsidR="00A33505" w:rsidRPr="00B56577" w14:paraId="19AAFE64"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356AC2" w14:textId="53521DB0"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Q9</w:t>
            </w:r>
          </w:p>
        </w:tc>
        <w:tc>
          <w:tcPr>
            <w:tcW w:w="0" w:type="auto"/>
            <w:vAlign w:val="center"/>
          </w:tcPr>
          <w:p w14:paraId="444D823F" w14:textId="5DE2454D"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Based on the changes to charging proposed in this consultation do you have any further reflections on the potential interaction with a SMEDR?</w:t>
            </w:r>
          </w:p>
        </w:tc>
        <w:tc>
          <w:tcPr>
            <w:tcW w:w="0" w:type="auto"/>
            <w:vAlign w:val="center"/>
          </w:tcPr>
          <w:p w14:paraId="6C8A88B2" w14:textId="4F36E367" w:rsidR="00CC4CD9" w:rsidRPr="00565610" w:rsidRDefault="00A61BAC"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565610">
              <w:rPr>
                <w:rFonts w:ascii="Lato" w:hAnsi="Lato"/>
              </w:rPr>
              <w:t>This is difficult to answer without a published cost benefit analysis for SMEDR. Our expectation is that it would improve efficiency and thus be cheaper for a User to access the Repository than a meter directly via the DSP/CSP. It is a fundamentally different way of accessing Smart meter data and so the proposed changes in this consultation may be entirely irrelevant. A decision should be made on SMEDR before any consideration of introducing charges for OUs.</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B6705E">
      <w:headerReference w:type="default" r:id="rId15"/>
      <w:footerReference w:type="default" r:id="rId16"/>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7DFF6" w14:textId="77777777" w:rsidR="003869E8" w:rsidRDefault="003869E8" w:rsidP="00FA568E">
      <w:pPr>
        <w:spacing w:after="0"/>
      </w:pPr>
      <w:r>
        <w:separator/>
      </w:r>
    </w:p>
  </w:endnote>
  <w:endnote w:type="continuationSeparator" w:id="0">
    <w:p w14:paraId="3C193E3D" w14:textId="77777777" w:rsidR="003869E8" w:rsidRDefault="003869E8" w:rsidP="00FA568E">
      <w:pPr>
        <w:spacing w:after="0"/>
      </w:pPr>
      <w:r>
        <w:continuationSeparator/>
      </w:r>
    </w:p>
  </w:endnote>
  <w:endnote w:type="continuationNotice" w:id="1">
    <w:p w14:paraId="4BD9D436" w14:textId="77777777" w:rsidR="003869E8" w:rsidRDefault="003869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altName w:val="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2DEE08F5" w14:textId="34C16EF7" w:rsidR="00E34ABA" w:rsidRDefault="005F7F6C" w:rsidP="00F37854">
          <w:pPr>
            <w:pStyle w:val="Footer"/>
            <w:rPr>
              <w:sz w:val="20"/>
              <w:szCs w:val="20"/>
            </w:rPr>
          </w:pPr>
          <w:r>
            <w:rPr>
              <w:noProof/>
              <w:sz w:val="20"/>
              <w:szCs w:val="20"/>
            </w:rPr>
            <mc:AlternateContent>
              <mc:Choice Requires="wps">
                <w:drawing>
                  <wp:anchor distT="0" distB="0" distL="114300" distR="114300" simplePos="0" relativeHeight="251662336"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4D59CB">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C1477" w14:textId="77777777" w:rsidR="003869E8" w:rsidRDefault="003869E8" w:rsidP="00FA568E">
      <w:pPr>
        <w:spacing w:after="0"/>
      </w:pPr>
      <w:r>
        <w:separator/>
      </w:r>
    </w:p>
  </w:footnote>
  <w:footnote w:type="continuationSeparator" w:id="0">
    <w:p w14:paraId="3054D792" w14:textId="77777777" w:rsidR="003869E8" w:rsidRDefault="003869E8" w:rsidP="00FA568E">
      <w:pPr>
        <w:spacing w:after="0"/>
      </w:pPr>
      <w:r>
        <w:continuationSeparator/>
      </w:r>
    </w:p>
  </w:footnote>
  <w:footnote w:type="continuationNotice" w:id="1">
    <w:p w14:paraId="1BCE7547" w14:textId="77777777" w:rsidR="003869E8" w:rsidRDefault="003869E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82D1" w14:textId="119F4015"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E760E5">
      <w:rPr>
        <w:rFonts w:ascii="Lato" w:hAnsi="Lato"/>
      </w:rPr>
      <w:t xml:space="preserve">DCC </w:t>
    </w:r>
    <w:r w:rsidR="000D5C57">
      <w:rPr>
        <w:rFonts w:ascii="Lato" w:hAnsi="Lato"/>
      </w:rPr>
      <w:t xml:space="preserve">consultation on the </w:t>
    </w:r>
    <w:r w:rsidR="00E760E5">
      <w:rPr>
        <w:rFonts w:ascii="Lato" w:hAnsi="Lato"/>
      </w:rPr>
      <w:t>Charging Methodology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pStyle w:val="Heading1"/>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pStyle w:val="Heading2"/>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0"/>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2"/>
  </w:num>
  <w:num w:numId="32" w16cid:durableId="688145661">
    <w:abstractNumId w:val="5"/>
  </w:num>
  <w:num w:numId="33" w16cid:durableId="1035077202">
    <w:abstractNumId w:val="18"/>
  </w:num>
  <w:num w:numId="34" w16cid:durableId="513805101">
    <w:abstractNumId w:val="31"/>
  </w:num>
  <w:num w:numId="35" w16cid:durableId="833491217">
    <w:abstractNumId w:val="30"/>
  </w:num>
  <w:num w:numId="36" w16cid:durableId="1313607884">
    <w:abstractNumId w:val="30"/>
  </w:num>
  <w:num w:numId="37" w16cid:durableId="1092973961">
    <w:abstractNumId w:val="30"/>
  </w:num>
  <w:num w:numId="38" w16cid:durableId="188987181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601B"/>
    <w:rsid w:val="00016A1E"/>
    <w:rsid w:val="00016D9F"/>
    <w:rsid w:val="00017238"/>
    <w:rsid w:val="000176CF"/>
    <w:rsid w:val="00017801"/>
    <w:rsid w:val="00022890"/>
    <w:rsid w:val="00022B36"/>
    <w:rsid w:val="00022DCC"/>
    <w:rsid w:val="000248BC"/>
    <w:rsid w:val="0002738C"/>
    <w:rsid w:val="00030033"/>
    <w:rsid w:val="00030450"/>
    <w:rsid w:val="00030A76"/>
    <w:rsid w:val="00032845"/>
    <w:rsid w:val="00032C08"/>
    <w:rsid w:val="00032FB6"/>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2D5C"/>
    <w:rsid w:val="00064A57"/>
    <w:rsid w:val="00064C0A"/>
    <w:rsid w:val="00065B5E"/>
    <w:rsid w:val="00067235"/>
    <w:rsid w:val="00070535"/>
    <w:rsid w:val="00071310"/>
    <w:rsid w:val="00073134"/>
    <w:rsid w:val="000751CC"/>
    <w:rsid w:val="00075421"/>
    <w:rsid w:val="00075A86"/>
    <w:rsid w:val="00075E34"/>
    <w:rsid w:val="00076EAA"/>
    <w:rsid w:val="0007792A"/>
    <w:rsid w:val="00080C91"/>
    <w:rsid w:val="00081342"/>
    <w:rsid w:val="00081C13"/>
    <w:rsid w:val="000829E8"/>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3C3"/>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2CF"/>
    <w:rsid w:val="000B0ACA"/>
    <w:rsid w:val="000B14C8"/>
    <w:rsid w:val="000B18D4"/>
    <w:rsid w:val="000B21B5"/>
    <w:rsid w:val="000B3357"/>
    <w:rsid w:val="000B3416"/>
    <w:rsid w:val="000B53DC"/>
    <w:rsid w:val="000B6321"/>
    <w:rsid w:val="000B6863"/>
    <w:rsid w:val="000B73BA"/>
    <w:rsid w:val="000B745F"/>
    <w:rsid w:val="000B781F"/>
    <w:rsid w:val="000B789F"/>
    <w:rsid w:val="000C0958"/>
    <w:rsid w:val="000C1750"/>
    <w:rsid w:val="000C2BB8"/>
    <w:rsid w:val="000C41CB"/>
    <w:rsid w:val="000C5485"/>
    <w:rsid w:val="000C57DC"/>
    <w:rsid w:val="000C682B"/>
    <w:rsid w:val="000D1C40"/>
    <w:rsid w:val="000D3331"/>
    <w:rsid w:val="000D3469"/>
    <w:rsid w:val="000D4374"/>
    <w:rsid w:val="000D46DC"/>
    <w:rsid w:val="000D5C57"/>
    <w:rsid w:val="000D626B"/>
    <w:rsid w:val="000D7209"/>
    <w:rsid w:val="000D7ACA"/>
    <w:rsid w:val="000E100A"/>
    <w:rsid w:val="000E190B"/>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046B"/>
    <w:rsid w:val="0012147B"/>
    <w:rsid w:val="00123C59"/>
    <w:rsid w:val="001248AB"/>
    <w:rsid w:val="00125710"/>
    <w:rsid w:val="001267C5"/>
    <w:rsid w:val="001279DF"/>
    <w:rsid w:val="0013164C"/>
    <w:rsid w:val="00133633"/>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7C5F"/>
    <w:rsid w:val="00171256"/>
    <w:rsid w:val="00173189"/>
    <w:rsid w:val="001768E6"/>
    <w:rsid w:val="001805D9"/>
    <w:rsid w:val="00180C58"/>
    <w:rsid w:val="001818B6"/>
    <w:rsid w:val="00182E10"/>
    <w:rsid w:val="00183D12"/>
    <w:rsid w:val="001848AA"/>
    <w:rsid w:val="001856F4"/>
    <w:rsid w:val="00185D64"/>
    <w:rsid w:val="00186C94"/>
    <w:rsid w:val="00187E49"/>
    <w:rsid w:val="001900A6"/>
    <w:rsid w:val="00190B2B"/>
    <w:rsid w:val="00190F1D"/>
    <w:rsid w:val="00190F37"/>
    <w:rsid w:val="0019192D"/>
    <w:rsid w:val="00192336"/>
    <w:rsid w:val="0019239E"/>
    <w:rsid w:val="00193954"/>
    <w:rsid w:val="001939A2"/>
    <w:rsid w:val="001942F0"/>
    <w:rsid w:val="00194422"/>
    <w:rsid w:val="001950E0"/>
    <w:rsid w:val="00195A5F"/>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059"/>
    <w:rsid w:val="001B19F6"/>
    <w:rsid w:val="001B1AC0"/>
    <w:rsid w:val="001B2AE7"/>
    <w:rsid w:val="001B2FAE"/>
    <w:rsid w:val="001B5CEE"/>
    <w:rsid w:val="001B6690"/>
    <w:rsid w:val="001B7475"/>
    <w:rsid w:val="001B7A62"/>
    <w:rsid w:val="001C04D9"/>
    <w:rsid w:val="001C1CFC"/>
    <w:rsid w:val="001C5EC6"/>
    <w:rsid w:val="001C60B0"/>
    <w:rsid w:val="001C7EE9"/>
    <w:rsid w:val="001D07D5"/>
    <w:rsid w:val="001D0D14"/>
    <w:rsid w:val="001D1ED0"/>
    <w:rsid w:val="001D2C7B"/>
    <w:rsid w:val="001D2CE2"/>
    <w:rsid w:val="001D3983"/>
    <w:rsid w:val="001D3CF1"/>
    <w:rsid w:val="001D638B"/>
    <w:rsid w:val="001D73B9"/>
    <w:rsid w:val="001D751F"/>
    <w:rsid w:val="001D7C3C"/>
    <w:rsid w:val="001D7EFB"/>
    <w:rsid w:val="001D7F66"/>
    <w:rsid w:val="001E01C1"/>
    <w:rsid w:val="001E0209"/>
    <w:rsid w:val="001E024D"/>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2010E0"/>
    <w:rsid w:val="00201361"/>
    <w:rsid w:val="00201C82"/>
    <w:rsid w:val="00201D17"/>
    <w:rsid w:val="00201EB8"/>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1F71"/>
    <w:rsid w:val="002225AE"/>
    <w:rsid w:val="00222909"/>
    <w:rsid w:val="00222C88"/>
    <w:rsid w:val="0022370A"/>
    <w:rsid w:val="00223C5F"/>
    <w:rsid w:val="00227287"/>
    <w:rsid w:val="0023250C"/>
    <w:rsid w:val="00233DEA"/>
    <w:rsid w:val="002343C7"/>
    <w:rsid w:val="002347C4"/>
    <w:rsid w:val="00235529"/>
    <w:rsid w:val="0023572D"/>
    <w:rsid w:val="00236170"/>
    <w:rsid w:val="002376DB"/>
    <w:rsid w:val="0024148F"/>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906"/>
    <w:rsid w:val="00276C39"/>
    <w:rsid w:val="00281673"/>
    <w:rsid w:val="002824C6"/>
    <w:rsid w:val="00282A5F"/>
    <w:rsid w:val="00282E4F"/>
    <w:rsid w:val="00285B51"/>
    <w:rsid w:val="00286CF5"/>
    <w:rsid w:val="00287479"/>
    <w:rsid w:val="00290158"/>
    <w:rsid w:val="00291741"/>
    <w:rsid w:val="002931B8"/>
    <w:rsid w:val="00293DE4"/>
    <w:rsid w:val="00293EDE"/>
    <w:rsid w:val="00295B8C"/>
    <w:rsid w:val="00295D63"/>
    <w:rsid w:val="00295EA5"/>
    <w:rsid w:val="002971C0"/>
    <w:rsid w:val="002A05BD"/>
    <w:rsid w:val="002A35FB"/>
    <w:rsid w:val="002A3882"/>
    <w:rsid w:val="002A3F9C"/>
    <w:rsid w:val="002A4258"/>
    <w:rsid w:val="002A5603"/>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294B"/>
    <w:rsid w:val="002D448D"/>
    <w:rsid w:val="002D4A07"/>
    <w:rsid w:val="002D5262"/>
    <w:rsid w:val="002D63E7"/>
    <w:rsid w:val="002D6F94"/>
    <w:rsid w:val="002D7F1A"/>
    <w:rsid w:val="002E20DE"/>
    <w:rsid w:val="002E2662"/>
    <w:rsid w:val="002E2D01"/>
    <w:rsid w:val="002E322A"/>
    <w:rsid w:val="002E376A"/>
    <w:rsid w:val="002E3A72"/>
    <w:rsid w:val="002E44F8"/>
    <w:rsid w:val="002E6635"/>
    <w:rsid w:val="002E6812"/>
    <w:rsid w:val="002E6D16"/>
    <w:rsid w:val="002E7478"/>
    <w:rsid w:val="002F0051"/>
    <w:rsid w:val="002F11EE"/>
    <w:rsid w:val="002F1789"/>
    <w:rsid w:val="002F208B"/>
    <w:rsid w:val="002F2865"/>
    <w:rsid w:val="002F342F"/>
    <w:rsid w:val="002F3B3A"/>
    <w:rsid w:val="002F4E04"/>
    <w:rsid w:val="002F7E81"/>
    <w:rsid w:val="00300A68"/>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C56"/>
    <w:rsid w:val="00314F6D"/>
    <w:rsid w:val="00316163"/>
    <w:rsid w:val="0031740C"/>
    <w:rsid w:val="00317745"/>
    <w:rsid w:val="003178C7"/>
    <w:rsid w:val="00321031"/>
    <w:rsid w:val="00321BFA"/>
    <w:rsid w:val="003226A2"/>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456"/>
    <w:rsid w:val="00347A8F"/>
    <w:rsid w:val="00350615"/>
    <w:rsid w:val="00350707"/>
    <w:rsid w:val="00350A9A"/>
    <w:rsid w:val="00351134"/>
    <w:rsid w:val="00351685"/>
    <w:rsid w:val="003536E3"/>
    <w:rsid w:val="003568B8"/>
    <w:rsid w:val="003578AF"/>
    <w:rsid w:val="00357D66"/>
    <w:rsid w:val="00360B1C"/>
    <w:rsid w:val="00360D23"/>
    <w:rsid w:val="00364B0A"/>
    <w:rsid w:val="00370238"/>
    <w:rsid w:val="00371077"/>
    <w:rsid w:val="003712C6"/>
    <w:rsid w:val="00372BB1"/>
    <w:rsid w:val="00372D62"/>
    <w:rsid w:val="00373395"/>
    <w:rsid w:val="00375285"/>
    <w:rsid w:val="00376052"/>
    <w:rsid w:val="0037653D"/>
    <w:rsid w:val="00376B83"/>
    <w:rsid w:val="003825E4"/>
    <w:rsid w:val="00385D47"/>
    <w:rsid w:val="00385FC5"/>
    <w:rsid w:val="003869E8"/>
    <w:rsid w:val="00387B0F"/>
    <w:rsid w:val="00387F24"/>
    <w:rsid w:val="00390B17"/>
    <w:rsid w:val="00390E9F"/>
    <w:rsid w:val="00391B09"/>
    <w:rsid w:val="00393741"/>
    <w:rsid w:val="00393963"/>
    <w:rsid w:val="00393B0D"/>
    <w:rsid w:val="00393F79"/>
    <w:rsid w:val="00394F39"/>
    <w:rsid w:val="00395DC8"/>
    <w:rsid w:val="003977DA"/>
    <w:rsid w:val="003A0598"/>
    <w:rsid w:val="003A0880"/>
    <w:rsid w:val="003A0A3F"/>
    <w:rsid w:val="003A0A71"/>
    <w:rsid w:val="003A23F6"/>
    <w:rsid w:val="003A3B09"/>
    <w:rsid w:val="003A412B"/>
    <w:rsid w:val="003A5463"/>
    <w:rsid w:val="003A59FB"/>
    <w:rsid w:val="003A5BDC"/>
    <w:rsid w:val="003A65E2"/>
    <w:rsid w:val="003A6B61"/>
    <w:rsid w:val="003A6C64"/>
    <w:rsid w:val="003A7C41"/>
    <w:rsid w:val="003B1035"/>
    <w:rsid w:val="003B357C"/>
    <w:rsid w:val="003B3A5C"/>
    <w:rsid w:val="003B46D2"/>
    <w:rsid w:val="003B4CB7"/>
    <w:rsid w:val="003B5178"/>
    <w:rsid w:val="003B59CE"/>
    <w:rsid w:val="003B5F6C"/>
    <w:rsid w:val="003B6646"/>
    <w:rsid w:val="003B7CAC"/>
    <w:rsid w:val="003B7D9A"/>
    <w:rsid w:val="003C0211"/>
    <w:rsid w:val="003C0231"/>
    <w:rsid w:val="003C0C1B"/>
    <w:rsid w:val="003C283C"/>
    <w:rsid w:val="003C2C9C"/>
    <w:rsid w:val="003C2D02"/>
    <w:rsid w:val="003C3196"/>
    <w:rsid w:val="003C32FC"/>
    <w:rsid w:val="003C3C2F"/>
    <w:rsid w:val="003C4D10"/>
    <w:rsid w:val="003C67F7"/>
    <w:rsid w:val="003C6F86"/>
    <w:rsid w:val="003D0452"/>
    <w:rsid w:val="003D07F5"/>
    <w:rsid w:val="003D1955"/>
    <w:rsid w:val="003D237E"/>
    <w:rsid w:val="003D4DF6"/>
    <w:rsid w:val="003D529C"/>
    <w:rsid w:val="003D5559"/>
    <w:rsid w:val="003E299D"/>
    <w:rsid w:val="003E56A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6425"/>
    <w:rsid w:val="004064E0"/>
    <w:rsid w:val="004065FE"/>
    <w:rsid w:val="00406C41"/>
    <w:rsid w:val="00406EB9"/>
    <w:rsid w:val="00406ED7"/>
    <w:rsid w:val="00407AEF"/>
    <w:rsid w:val="004119FB"/>
    <w:rsid w:val="004122B8"/>
    <w:rsid w:val="00412369"/>
    <w:rsid w:val="004126FA"/>
    <w:rsid w:val="00412A22"/>
    <w:rsid w:val="00413146"/>
    <w:rsid w:val="00413255"/>
    <w:rsid w:val="00415690"/>
    <w:rsid w:val="00415696"/>
    <w:rsid w:val="0041569B"/>
    <w:rsid w:val="004225D0"/>
    <w:rsid w:val="00422846"/>
    <w:rsid w:val="00422DE0"/>
    <w:rsid w:val="00422E05"/>
    <w:rsid w:val="00422EF3"/>
    <w:rsid w:val="00423A1D"/>
    <w:rsid w:val="0042418F"/>
    <w:rsid w:val="00424B53"/>
    <w:rsid w:val="00425B34"/>
    <w:rsid w:val="00426134"/>
    <w:rsid w:val="004274E0"/>
    <w:rsid w:val="004277F0"/>
    <w:rsid w:val="0043010B"/>
    <w:rsid w:val="00430182"/>
    <w:rsid w:val="0043041F"/>
    <w:rsid w:val="004313F5"/>
    <w:rsid w:val="00431654"/>
    <w:rsid w:val="0043177D"/>
    <w:rsid w:val="004320E3"/>
    <w:rsid w:val="0043332B"/>
    <w:rsid w:val="0043422F"/>
    <w:rsid w:val="004347F0"/>
    <w:rsid w:val="00434FE5"/>
    <w:rsid w:val="00435F8A"/>
    <w:rsid w:val="00437088"/>
    <w:rsid w:val="004370E5"/>
    <w:rsid w:val="004372F0"/>
    <w:rsid w:val="00437F9E"/>
    <w:rsid w:val="00440360"/>
    <w:rsid w:val="0044217A"/>
    <w:rsid w:val="00443F93"/>
    <w:rsid w:val="00444342"/>
    <w:rsid w:val="004449D9"/>
    <w:rsid w:val="004450F9"/>
    <w:rsid w:val="004466E7"/>
    <w:rsid w:val="00446A5E"/>
    <w:rsid w:val="00450937"/>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5136"/>
    <w:rsid w:val="00475FE7"/>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5B07"/>
    <w:rsid w:val="00496641"/>
    <w:rsid w:val="004976CF"/>
    <w:rsid w:val="004A016C"/>
    <w:rsid w:val="004A3969"/>
    <w:rsid w:val="004A4FD8"/>
    <w:rsid w:val="004A5819"/>
    <w:rsid w:val="004A6CBB"/>
    <w:rsid w:val="004B040C"/>
    <w:rsid w:val="004B0A6E"/>
    <w:rsid w:val="004B1BCE"/>
    <w:rsid w:val="004B1BF7"/>
    <w:rsid w:val="004B2131"/>
    <w:rsid w:val="004B2950"/>
    <w:rsid w:val="004B2C0E"/>
    <w:rsid w:val="004B2C2A"/>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1D95"/>
    <w:rsid w:val="004D245A"/>
    <w:rsid w:val="004D24A0"/>
    <w:rsid w:val="004D2834"/>
    <w:rsid w:val="004D30CC"/>
    <w:rsid w:val="004D4AEE"/>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1B75"/>
    <w:rsid w:val="004F2B9B"/>
    <w:rsid w:val="004F470F"/>
    <w:rsid w:val="004F588A"/>
    <w:rsid w:val="004F61FA"/>
    <w:rsid w:val="004F64F1"/>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120E"/>
    <w:rsid w:val="005125F5"/>
    <w:rsid w:val="005126C9"/>
    <w:rsid w:val="00512732"/>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1E1B"/>
    <w:rsid w:val="00532296"/>
    <w:rsid w:val="00533739"/>
    <w:rsid w:val="0053429C"/>
    <w:rsid w:val="00535C72"/>
    <w:rsid w:val="00536503"/>
    <w:rsid w:val="005372A9"/>
    <w:rsid w:val="00540872"/>
    <w:rsid w:val="005410AB"/>
    <w:rsid w:val="00541145"/>
    <w:rsid w:val="00541A5B"/>
    <w:rsid w:val="00541C5D"/>
    <w:rsid w:val="00542352"/>
    <w:rsid w:val="00542F7C"/>
    <w:rsid w:val="00543602"/>
    <w:rsid w:val="0054534B"/>
    <w:rsid w:val="005465FC"/>
    <w:rsid w:val="00547C14"/>
    <w:rsid w:val="00547F50"/>
    <w:rsid w:val="00550C2B"/>
    <w:rsid w:val="00550E0D"/>
    <w:rsid w:val="005521F5"/>
    <w:rsid w:val="00552E63"/>
    <w:rsid w:val="00553837"/>
    <w:rsid w:val="00553DF7"/>
    <w:rsid w:val="00555194"/>
    <w:rsid w:val="005559E1"/>
    <w:rsid w:val="005564AD"/>
    <w:rsid w:val="00556A4A"/>
    <w:rsid w:val="00560DF2"/>
    <w:rsid w:val="00565610"/>
    <w:rsid w:val="00565B42"/>
    <w:rsid w:val="005661A9"/>
    <w:rsid w:val="00566F5B"/>
    <w:rsid w:val="00570FE3"/>
    <w:rsid w:val="00571197"/>
    <w:rsid w:val="0057613E"/>
    <w:rsid w:val="005770A0"/>
    <w:rsid w:val="00577637"/>
    <w:rsid w:val="0058020E"/>
    <w:rsid w:val="00581426"/>
    <w:rsid w:val="00581670"/>
    <w:rsid w:val="005822BD"/>
    <w:rsid w:val="0058296F"/>
    <w:rsid w:val="00582F52"/>
    <w:rsid w:val="00583881"/>
    <w:rsid w:val="00583C5F"/>
    <w:rsid w:val="00583F30"/>
    <w:rsid w:val="00584536"/>
    <w:rsid w:val="00585630"/>
    <w:rsid w:val="00585984"/>
    <w:rsid w:val="005864F3"/>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403D"/>
    <w:rsid w:val="005D515A"/>
    <w:rsid w:val="005D56FB"/>
    <w:rsid w:val="005D6853"/>
    <w:rsid w:val="005D6E06"/>
    <w:rsid w:val="005E1D7C"/>
    <w:rsid w:val="005E1E32"/>
    <w:rsid w:val="005E2C83"/>
    <w:rsid w:val="005E351B"/>
    <w:rsid w:val="005E4D5B"/>
    <w:rsid w:val="005E4E69"/>
    <w:rsid w:val="005E56C0"/>
    <w:rsid w:val="005E5B8B"/>
    <w:rsid w:val="005E5EA5"/>
    <w:rsid w:val="005E63B8"/>
    <w:rsid w:val="005F0024"/>
    <w:rsid w:val="005F2A47"/>
    <w:rsid w:val="005F3AD3"/>
    <w:rsid w:val="005F43B9"/>
    <w:rsid w:val="005F4532"/>
    <w:rsid w:val="005F464F"/>
    <w:rsid w:val="005F4B60"/>
    <w:rsid w:val="005F5ABE"/>
    <w:rsid w:val="005F5B8F"/>
    <w:rsid w:val="005F5EC8"/>
    <w:rsid w:val="005F6D09"/>
    <w:rsid w:val="005F7F6C"/>
    <w:rsid w:val="006008AD"/>
    <w:rsid w:val="00600FDA"/>
    <w:rsid w:val="00604014"/>
    <w:rsid w:val="0060403D"/>
    <w:rsid w:val="00605673"/>
    <w:rsid w:val="00610FEF"/>
    <w:rsid w:val="006112C6"/>
    <w:rsid w:val="006121D1"/>
    <w:rsid w:val="00613975"/>
    <w:rsid w:val="00614DBC"/>
    <w:rsid w:val="00617262"/>
    <w:rsid w:val="0062022E"/>
    <w:rsid w:val="00620282"/>
    <w:rsid w:val="006202F3"/>
    <w:rsid w:val="0062100A"/>
    <w:rsid w:val="006211CA"/>
    <w:rsid w:val="00621816"/>
    <w:rsid w:val="00622660"/>
    <w:rsid w:val="006226C4"/>
    <w:rsid w:val="00623622"/>
    <w:rsid w:val="00623A40"/>
    <w:rsid w:val="00624486"/>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374E9"/>
    <w:rsid w:val="00642AF2"/>
    <w:rsid w:val="00644598"/>
    <w:rsid w:val="00644A88"/>
    <w:rsid w:val="006469EB"/>
    <w:rsid w:val="00647DE9"/>
    <w:rsid w:val="00650BAD"/>
    <w:rsid w:val="00650D99"/>
    <w:rsid w:val="00650F48"/>
    <w:rsid w:val="0065146C"/>
    <w:rsid w:val="00651784"/>
    <w:rsid w:val="00652BE8"/>
    <w:rsid w:val="006536B3"/>
    <w:rsid w:val="006540A8"/>
    <w:rsid w:val="00654CB7"/>
    <w:rsid w:val="00655912"/>
    <w:rsid w:val="00656DA2"/>
    <w:rsid w:val="00657B27"/>
    <w:rsid w:val="00662C89"/>
    <w:rsid w:val="00662DE7"/>
    <w:rsid w:val="00662ED1"/>
    <w:rsid w:val="00663742"/>
    <w:rsid w:val="00665106"/>
    <w:rsid w:val="006672D3"/>
    <w:rsid w:val="00671D44"/>
    <w:rsid w:val="006724B5"/>
    <w:rsid w:val="00673396"/>
    <w:rsid w:val="006734C3"/>
    <w:rsid w:val="00673928"/>
    <w:rsid w:val="00673B5A"/>
    <w:rsid w:val="00673EEB"/>
    <w:rsid w:val="006741BE"/>
    <w:rsid w:val="0067478E"/>
    <w:rsid w:val="00674D62"/>
    <w:rsid w:val="006757B9"/>
    <w:rsid w:val="00676777"/>
    <w:rsid w:val="00676C2B"/>
    <w:rsid w:val="00676FA3"/>
    <w:rsid w:val="00677316"/>
    <w:rsid w:val="00677DEA"/>
    <w:rsid w:val="0068176C"/>
    <w:rsid w:val="006823EF"/>
    <w:rsid w:val="006824BD"/>
    <w:rsid w:val="00684B75"/>
    <w:rsid w:val="0068511B"/>
    <w:rsid w:val="0068623A"/>
    <w:rsid w:val="00686417"/>
    <w:rsid w:val="00687AAC"/>
    <w:rsid w:val="0069010A"/>
    <w:rsid w:val="00690407"/>
    <w:rsid w:val="006921E2"/>
    <w:rsid w:val="00692A0B"/>
    <w:rsid w:val="0069330E"/>
    <w:rsid w:val="00693A7D"/>
    <w:rsid w:val="00693EBD"/>
    <w:rsid w:val="00694EB1"/>
    <w:rsid w:val="00695955"/>
    <w:rsid w:val="006962F1"/>
    <w:rsid w:val="00696A0F"/>
    <w:rsid w:val="00697D2F"/>
    <w:rsid w:val="006A02E3"/>
    <w:rsid w:val="006A0BA1"/>
    <w:rsid w:val="006A0CD5"/>
    <w:rsid w:val="006A0D02"/>
    <w:rsid w:val="006A2043"/>
    <w:rsid w:val="006A2341"/>
    <w:rsid w:val="006A23DA"/>
    <w:rsid w:val="006A28D5"/>
    <w:rsid w:val="006A2F3E"/>
    <w:rsid w:val="006A3289"/>
    <w:rsid w:val="006A3933"/>
    <w:rsid w:val="006A4E00"/>
    <w:rsid w:val="006A6C8E"/>
    <w:rsid w:val="006A73D4"/>
    <w:rsid w:val="006A7C12"/>
    <w:rsid w:val="006A7E73"/>
    <w:rsid w:val="006B1022"/>
    <w:rsid w:val="006B1C47"/>
    <w:rsid w:val="006B2935"/>
    <w:rsid w:val="006B29B2"/>
    <w:rsid w:val="006B30B6"/>
    <w:rsid w:val="006B3531"/>
    <w:rsid w:val="006B4E65"/>
    <w:rsid w:val="006B5356"/>
    <w:rsid w:val="006B5657"/>
    <w:rsid w:val="006C046E"/>
    <w:rsid w:val="006C07E6"/>
    <w:rsid w:val="006C10D8"/>
    <w:rsid w:val="006C1C68"/>
    <w:rsid w:val="006C2798"/>
    <w:rsid w:val="006C280C"/>
    <w:rsid w:val="006C287D"/>
    <w:rsid w:val="006C4D86"/>
    <w:rsid w:val="006C5942"/>
    <w:rsid w:val="006C6F16"/>
    <w:rsid w:val="006C7537"/>
    <w:rsid w:val="006D0A2B"/>
    <w:rsid w:val="006D2FD0"/>
    <w:rsid w:val="006D3A53"/>
    <w:rsid w:val="006D3ACB"/>
    <w:rsid w:val="006D433B"/>
    <w:rsid w:val="006D4930"/>
    <w:rsid w:val="006D4C4A"/>
    <w:rsid w:val="006D5225"/>
    <w:rsid w:val="006D56C7"/>
    <w:rsid w:val="006E010B"/>
    <w:rsid w:val="006E0C28"/>
    <w:rsid w:val="006E0FE3"/>
    <w:rsid w:val="006E26D9"/>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D9"/>
    <w:rsid w:val="00714998"/>
    <w:rsid w:val="007152DA"/>
    <w:rsid w:val="00715819"/>
    <w:rsid w:val="007170CA"/>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22DD"/>
    <w:rsid w:val="00733CD5"/>
    <w:rsid w:val="00734770"/>
    <w:rsid w:val="00734DCB"/>
    <w:rsid w:val="00735696"/>
    <w:rsid w:val="007358AD"/>
    <w:rsid w:val="00736685"/>
    <w:rsid w:val="0074107C"/>
    <w:rsid w:val="007411FA"/>
    <w:rsid w:val="00741915"/>
    <w:rsid w:val="00741C3A"/>
    <w:rsid w:val="00745CDA"/>
    <w:rsid w:val="00745D6B"/>
    <w:rsid w:val="00745F8D"/>
    <w:rsid w:val="00746AD2"/>
    <w:rsid w:val="0074788C"/>
    <w:rsid w:val="007478F4"/>
    <w:rsid w:val="00747AB8"/>
    <w:rsid w:val="007530EB"/>
    <w:rsid w:val="00753E7E"/>
    <w:rsid w:val="00754ADF"/>
    <w:rsid w:val="007557C1"/>
    <w:rsid w:val="00755A89"/>
    <w:rsid w:val="00757626"/>
    <w:rsid w:val="0076061C"/>
    <w:rsid w:val="007617AC"/>
    <w:rsid w:val="00765684"/>
    <w:rsid w:val="00765888"/>
    <w:rsid w:val="00765B73"/>
    <w:rsid w:val="00772CE4"/>
    <w:rsid w:val="00772D02"/>
    <w:rsid w:val="0077467B"/>
    <w:rsid w:val="00774879"/>
    <w:rsid w:val="00774C57"/>
    <w:rsid w:val="00777926"/>
    <w:rsid w:val="007800EC"/>
    <w:rsid w:val="00780202"/>
    <w:rsid w:val="00780889"/>
    <w:rsid w:val="00780FEB"/>
    <w:rsid w:val="00781B98"/>
    <w:rsid w:val="00781C63"/>
    <w:rsid w:val="00781E88"/>
    <w:rsid w:val="00781EB0"/>
    <w:rsid w:val="00782B0B"/>
    <w:rsid w:val="007843F6"/>
    <w:rsid w:val="00784E4C"/>
    <w:rsid w:val="00786C31"/>
    <w:rsid w:val="00786EFF"/>
    <w:rsid w:val="00787AD3"/>
    <w:rsid w:val="00787B74"/>
    <w:rsid w:val="0079001A"/>
    <w:rsid w:val="0079005C"/>
    <w:rsid w:val="007912B2"/>
    <w:rsid w:val="00792D6A"/>
    <w:rsid w:val="007934EA"/>
    <w:rsid w:val="007951DD"/>
    <w:rsid w:val="007953E7"/>
    <w:rsid w:val="0079628D"/>
    <w:rsid w:val="00796E0C"/>
    <w:rsid w:val="007A093C"/>
    <w:rsid w:val="007A18BE"/>
    <w:rsid w:val="007A279F"/>
    <w:rsid w:val="007A2DAC"/>
    <w:rsid w:val="007A3A01"/>
    <w:rsid w:val="007A3BF2"/>
    <w:rsid w:val="007A5519"/>
    <w:rsid w:val="007A5881"/>
    <w:rsid w:val="007A589F"/>
    <w:rsid w:val="007A7CD8"/>
    <w:rsid w:val="007B0945"/>
    <w:rsid w:val="007B213A"/>
    <w:rsid w:val="007B2A87"/>
    <w:rsid w:val="007B4A68"/>
    <w:rsid w:val="007B5812"/>
    <w:rsid w:val="007B5D20"/>
    <w:rsid w:val="007B6330"/>
    <w:rsid w:val="007B6706"/>
    <w:rsid w:val="007B6F28"/>
    <w:rsid w:val="007B7593"/>
    <w:rsid w:val="007C0A98"/>
    <w:rsid w:val="007C107B"/>
    <w:rsid w:val="007C11D3"/>
    <w:rsid w:val="007C1245"/>
    <w:rsid w:val="007C124D"/>
    <w:rsid w:val="007C1E82"/>
    <w:rsid w:val="007C2172"/>
    <w:rsid w:val="007C33D4"/>
    <w:rsid w:val="007C3A9C"/>
    <w:rsid w:val="007C4609"/>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E0EA2"/>
    <w:rsid w:val="007E149E"/>
    <w:rsid w:val="007E15B7"/>
    <w:rsid w:val="007E1D76"/>
    <w:rsid w:val="007E1EBE"/>
    <w:rsid w:val="007E20BB"/>
    <w:rsid w:val="007E24AE"/>
    <w:rsid w:val="007E2914"/>
    <w:rsid w:val="007E29CF"/>
    <w:rsid w:val="007E3ED4"/>
    <w:rsid w:val="007E6E1B"/>
    <w:rsid w:val="007E6F6A"/>
    <w:rsid w:val="007E7802"/>
    <w:rsid w:val="007E7B4E"/>
    <w:rsid w:val="007F1139"/>
    <w:rsid w:val="007F20DA"/>
    <w:rsid w:val="007F219F"/>
    <w:rsid w:val="007F23AB"/>
    <w:rsid w:val="007F345B"/>
    <w:rsid w:val="007F35F8"/>
    <w:rsid w:val="007F3A28"/>
    <w:rsid w:val="007F3B3F"/>
    <w:rsid w:val="007F3B85"/>
    <w:rsid w:val="007F4840"/>
    <w:rsid w:val="008014A3"/>
    <w:rsid w:val="00802E7F"/>
    <w:rsid w:val="0080336B"/>
    <w:rsid w:val="00803D6C"/>
    <w:rsid w:val="00804B17"/>
    <w:rsid w:val="00805669"/>
    <w:rsid w:val="0080597C"/>
    <w:rsid w:val="00805D73"/>
    <w:rsid w:val="00810111"/>
    <w:rsid w:val="008102F3"/>
    <w:rsid w:val="00811319"/>
    <w:rsid w:val="00812636"/>
    <w:rsid w:val="00812AF2"/>
    <w:rsid w:val="008141BD"/>
    <w:rsid w:val="008149F2"/>
    <w:rsid w:val="0081588D"/>
    <w:rsid w:val="00815AED"/>
    <w:rsid w:val="00816328"/>
    <w:rsid w:val="00816C33"/>
    <w:rsid w:val="00817EE8"/>
    <w:rsid w:val="00820A56"/>
    <w:rsid w:val="00821976"/>
    <w:rsid w:val="0082203F"/>
    <w:rsid w:val="00823CF0"/>
    <w:rsid w:val="008249DC"/>
    <w:rsid w:val="008328A2"/>
    <w:rsid w:val="008334B6"/>
    <w:rsid w:val="00833BD8"/>
    <w:rsid w:val="008347C4"/>
    <w:rsid w:val="008352E1"/>
    <w:rsid w:val="00836564"/>
    <w:rsid w:val="00837319"/>
    <w:rsid w:val="00842425"/>
    <w:rsid w:val="00843E2E"/>
    <w:rsid w:val="008449C1"/>
    <w:rsid w:val="00846A64"/>
    <w:rsid w:val="00847217"/>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63FE"/>
    <w:rsid w:val="008A7E58"/>
    <w:rsid w:val="008B0874"/>
    <w:rsid w:val="008B25C4"/>
    <w:rsid w:val="008B2DC0"/>
    <w:rsid w:val="008B353A"/>
    <w:rsid w:val="008B39FF"/>
    <w:rsid w:val="008B5ADB"/>
    <w:rsid w:val="008B5F33"/>
    <w:rsid w:val="008B7164"/>
    <w:rsid w:val="008C04AF"/>
    <w:rsid w:val="008C146B"/>
    <w:rsid w:val="008C1F11"/>
    <w:rsid w:val="008C5AF9"/>
    <w:rsid w:val="008C618F"/>
    <w:rsid w:val="008C67CE"/>
    <w:rsid w:val="008C68C3"/>
    <w:rsid w:val="008C6BA2"/>
    <w:rsid w:val="008C6F7F"/>
    <w:rsid w:val="008D0866"/>
    <w:rsid w:val="008D0AEC"/>
    <w:rsid w:val="008D0B80"/>
    <w:rsid w:val="008D184C"/>
    <w:rsid w:val="008D3EE1"/>
    <w:rsid w:val="008D4E90"/>
    <w:rsid w:val="008D5009"/>
    <w:rsid w:val="008D6F40"/>
    <w:rsid w:val="008D740E"/>
    <w:rsid w:val="008E20C6"/>
    <w:rsid w:val="008E25C6"/>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0D8"/>
    <w:rsid w:val="008F6F74"/>
    <w:rsid w:val="009006B8"/>
    <w:rsid w:val="00900AA8"/>
    <w:rsid w:val="00902CD9"/>
    <w:rsid w:val="00903028"/>
    <w:rsid w:val="00904D1F"/>
    <w:rsid w:val="00905067"/>
    <w:rsid w:val="00906B50"/>
    <w:rsid w:val="0090703A"/>
    <w:rsid w:val="0090784F"/>
    <w:rsid w:val="00907CAA"/>
    <w:rsid w:val="00910236"/>
    <w:rsid w:val="00911010"/>
    <w:rsid w:val="00911F0F"/>
    <w:rsid w:val="00912D94"/>
    <w:rsid w:val="00913464"/>
    <w:rsid w:val="00913DE3"/>
    <w:rsid w:val="00914410"/>
    <w:rsid w:val="009147BD"/>
    <w:rsid w:val="0091790A"/>
    <w:rsid w:val="00920E2B"/>
    <w:rsid w:val="00921E81"/>
    <w:rsid w:val="00921F9B"/>
    <w:rsid w:val="00922B99"/>
    <w:rsid w:val="00922F48"/>
    <w:rsid w:val="0092319A"/>
    <w:rsid w:val="00923924"/>
    <w:rsid w:val="00923F0F"/>
    <w:rsid w:val="009245B7"/>
    <w:rsid w:val="00924851"/>
    <w:rsid w:val="00924A00"/>
    <w:rsid w:val="00926D3D"/>
    <w:rsid w:val="0092773D"/>
    <w:rsid w:val="00930A25"/>
    <w:rsid w:val="00931744"/>
    <w:rsid w:val="00931829"/>
    <w:rsid w:val="00932147"/>
    <w:rsid w:val="00934E2E"/>
    <w:rsid w:val="0093602D"/>
    <w:rsid w:val="00937A77"/>
    <w:rsid w:val="009406D7"/>
    <w:rsid w:val="00942787"/>
    <w:rsid w:val="00942C5F"/>
    <w:rsid w:val="00944568"/>
    <w:rsid w:val="009452BC"/>
    <w:rsid w:val="009460A7"/>
    <w:rsid w:val="009463A9"/>
    <w:rsid w:val="009469A8"/>
    <w:rsid w:val="009469CF"/>
    <w:rsid w:val="0095058B"/>
    <w:rsid w:val="0095351B"/>
    <w:rsid w:val="00953CD9"/>
    <w:rsid w:val="00953DFA"/>
    <w:rsid w:val="009543F7"/>
    <w:rsid w:val="0095463F"/>
    <w:rsid w:val="00955656"/>
    <w:rsid w:val="0095779B"/>
    <w:rsid w:val="009579E7"/>
    <w:rsid w:val="009605C4"/>
    <w:rsid w:val="00960EEF"/>
    <w:rsid w:val="00961D4F"/>
    <w:rsid w:val="00963E77"/>
    <w:rsid w:val="009642E5"/>
    <w:rsid w:val="00965ADC"/>
    <w:rsid w:val="009660C1"/>
    <w:rsid w:val="00967ED8"/>
    <w:rsid w:val="00970A15"/>
    <w:rsid w:val="009723C9"/>
    <w:rsid w:val="00973C8C"/>
    <w:rsid w:val="00974613"/>
    <w:rsid w:val="00974F0F"/>
    <w:rsid w:val="0097637D"/>
    <w:rsid w:val="00976397"/>
    <w:rsid w:val="00977677"/>
    <w:rsid w:val="00980733"/>
    <w:rsid w:val="00980839"/>
    <w:rsid w:val="00981C68"/>
    <w:rsid w:val="009823B6"/>
    <w:rsid w:val="009837B9"/>
    <w:rsid w:val="009839E2"/>
    <w:rsid w:val="00984EA7"/>
    <w:rsid w:val="009855F8"/>
    <w:rsid w:val="00985C31"/>
    <w:rsid w:val="00985C67"/>
    <w:rsid w:val="0098602D"/>
    <w:rsid w:val="009864EE"/>
    <w:rsid w:val="00987CBE"/>
    <w:rsid w:val="00987E88"/>
    <w:rsid w:val="0099187F"/>
    <w:rsid w:val="0099201C"/>
    <w:rsid w:val="009931CF"/>
    <w:rsid w:val="0099375D"/>
    <w:rsid w:val="00994113"/>
    <w:rsid w:val="00994197"/>
    <w:rsid w:val="00994FE0"/>
    <w:rsid w:val="00995FDB"/>
    <w:rsid w:val="00996848"/>
    <w:rsid w:val="00997516"/>
    <w:rsid w:val="009A1BBD"/>
    <w:rsid w:val="009A2EB3"/>
    <w:rsid w:val="009A77C8"/>
    <w:rsid w:val="009A7B67"/>
    <w:rsid w:val="009A7FCE"/>
    <w:rsid w:val="009B2CA9"/>
    <w:rsid w:val="009B3148"/>
    <w:rsid w:val="009B57B4"/>
    <w:rsid w:val="009B5EC7"/>
    <w:rsid w:val="009B7111"/>
    <w:rsid w:val="009C111C"/>
    <w:rsid w:val="009C2CF1"/>
    <w:rsid w:val="009C2F78"/>
    <w:rsid w:val="009C335B"/>
    <w:rsid w:val="009C3D84"/>
    <w:rsid w:val="009C5345"/>
    <w:rsid w:val="009C65DA"/>
    <w:rsid w:val="009C685F"/>
    <w:rsid w:val="009C6966"/>
    <w:rsid w:val="009C6F0C"/>
    <w:rsid w:val="009C7AD3"/>
    <w:rsid w:val="009C7F81"/>
    <w:rsid w:val="009D00A5"/>
    <w:rsid w:val="009D093A"/>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928"/>
    <w:rsid w:val="009F1D07"/>
    <w:rsid w:val="009F37BA"/>
    <w:rsid w:val="009F3C6F"/>
    <w:rsid w:val="009F4983"/>
    <w:rsid w:val="009F4A44"/>
    <w:rsid w:val="009F4BC1"/>
    <w:rsid w:val="009F5699"/>
    <w:rsid w:val="009F6565"/>
    <w:rsid w:val="009F6D8B"/>
    <w:rsid w:val="009F75F8"/>
    <w:rsid w:val="009F7CEC"/>
    <w:rsid w:val="00A00519"/>
    <w:rsid w:val="00A015EE"/>
    <w:rsid w:val="00A02312"/>
    <w:rsid w:val="00A024C0"/>
    <w:rsid w:val="00A027EA"/>
    <w:rsid w:val="00A02900"/>
    <w:rsid w:val="00A02ACF"/>
    <w:rsid w:val="00A03EFE"/>
    <w:rsid w:val="00A043C9"/>
    <w:rsid w:val="00A06F8A"/>
    <w:rsid w:val="00A073F1"/>
    <w:rsid w:val="00A07E5B"/>
    <w:rsid w:val="00A10741"/>
    <w:rsid w:val="00A110C7"/>
    <w:rsid w:val="00A11CA5"/>
    <w:rsid w:val="00A123C9"/>
    <w:rsid w:val="00A13615"/>
    <w:rsid w:val="00A13730"/>
    <w:rsid w:val="00A139EB"/>
    <w:rsid w:val="00A13C51"/>
    <w:rsid w:val="00A145E8"/>
    <w:rsid w:val="00A1499A"/>
    <w:rsid w:val="00A15DEA"/>
    <w:rsid w:val="00A2046E"/>
    <w:rsid w:val="00A2054B"/>
    <w:rsid w:val="00A22643"/>
    <w:rsid w:val="00A22E6C"/>
    <w:rsid w:val="00A23AA5"/>
    <w:rsid w:val="00A24328"/>
    <w:rsid w:val="00A24E83"/>
    <w:rsid w:val="00A26409"/>
    <w:rsid w:val="00A26F05"/>
    <w:rsid w:val="00A300F4"/>
    <w:rsid w:val="00A3218F"/>
    <w:rsid w:val="00A32F62"/>
    <w:rsid w:val="00A32F74"/>
    <w:rsid w:val="00A33505"/>
    <w:rsid w:val="00A3374A"/>
    <w:rsid w:val="00A33CEC"/>
    <w:rsid w:val="00A37C25"/>
    <w:rsid w:val="00A4028B"/>
    <w:rsid w:val="00A41A88"/>
    <w:rsid w:val="00A42562"/>
    <w:rsid w:val="00A4289A"/>
    <w:rsid w:val="00A431FC"/>
    <w:rsid w:val="00A44C7F"/>
    <w:rsid w:val="00A452C7"/>
    <w:rsid w:val="00A45339"/>
    <w:rsid w:val="00A464ED"/>
    <w:rsid w:val="00A47AF8"/>
    <w:rsid w:val="00A50084"/>
    <w:rsid w:val="00A502C4"/>
    <w:rsid w:val="00A506FE"/>
    <w:rsid w:val="00A507CF"/>
    <w:rsid w:val="00A510D5"/>
    <w:rsid w:val="00A51490"/>
    <w:rsid w:val="00A5305D"/>
    <w:rsid w:val="00A54E45"/>
    <w:rsid w:val="00A54F0E"/>
    <w:rsid w:val="00A550B5"/>
    <w:rsid w:val="00A5515C"/>
    <w:rsid w:val="00A5635E"/>
    <w:rsid w:val="00A57631"/>
    <w:rsid w:val="00A57E10"/>
    <w:rsid w:val="00A610E2"/>
    <w:rsid w:val="00A6155D"/>
    <w:rsid w:val="00A61BAC"/>
    <w:rsid w:val="00A61E38"/>
    <w:rsid w:val="00A629BD"/>
    <w:rsid w:val="00A6468D"/>
    <w:rsid w:val="00A64E05"/>
    <w:rsid w:val="00A64E89"/>
    <w:rsid w:val="00A6648A"/>
    <w:rsid w:val="00A67AE0"/>
    <w:rsid w:val="00A72136"/>
    <w:rsid w:val="00A72AE3"/>
    <w:rsid w:val="00A75059"/>
    <w:rsid w:val="00A75FEF"/>
    <w:rsid w:val="00A76956"/>
    <w:rsid w:val="00A76B31"/>
    <w:rsid w:val="00A76C49"/>
    <w:rsid w:val="00A771CB"/>
    <w:rsid w:val="00A80CEF"/>
    <w:rsid w:val="00A8198D"/>
    <w:rsid w:val="00A8210A"/>
    <w:rsid w:val="00A83B10"/>
    <w:rsid w:val="00A83B23"/>
    <w:rsid w:val="00A8498E"/>
    <w:rsid w:val="00A8523F"/>
    <w:rsid w:val="00A8610E"/>
    <w:rsid w:val="00A8666F"/>
    <w:rsid w:val="00A87136"/>
    <w:rsid w:val="00A87CA9"/>
    <w:rsid w:val="00A92F82"/>
    <w:rsid w:val="00A94C54"/>
    <w:rsid w:val="00A95E22"/>
    <w:rsid w:val="00A9763E"/>
    <w:rsid w:val="00AA16A9"/>
    <w:rsid w:val="00AA46DD"/>
    <w:rsid w:val="00AA7448"/>
    <w:rsid w:val="00AA7A58"/>
    <w:rsid w:val="00AA7EDE"/>
    <w:rsid w:val="00AA7FBF"/>
    <w:rsid w:val="00AB1575"/>
    <w:rsid w:val="00AB20FD"/>
    <w:rsid w:val="00AB24C7"/>
    <w:rsid w:val="00AB2F96"/>
    <w:rsid w:val="00AB3DB3"/>
    <w:rsid w:val="00AB414D"/>
    <w:rsid w:val="00AB56E5"/>
    <w:rsid w:val="00AB6291"/>
    <w:rsid w:val="00AB6765"/>
    <w:rsid w:val="00AB6CE7"/>
    <w:rsid w:val="00AB742A"/>
    <w:rsid w:val="00AB751B"/>
    <w:rsid w:val="00AC1852"/>
    <w:rsid w:val="00AC2A8F"/>
    <w:rsid w:val="00AC5FC6"/>
    <w:rsid w:val="00AC67B0"/>
    <w:rsid w:val="00AC75B9"/>
    <w:rsid w:val="00AD08E7"/>
    <w:rsid w:val="00AD1C86"/>
    <w:rsid w:val="00AD2480"/>
    <w:rsid w:val="00AD2656"/>
    <w:rsid w:val="00AD31D7"/>
    <w:rsid w:val="00AD444A"/>
    <w:rsid w:val="00AD64AE"/>
    <w:rsid w:val="00AD7B1E"/>
    <w:rsid w:val="00AE0063"/>
    <w:rsid w:val="00AE01F2"/>
    <w:rsid w:val="00AE0F07"/>
    <w:rsid w:val="00AE194C"/>
    <w:rsid w:val="00AE328D"/>
    <w:rsid w:val="00AE3BE2"/>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6C1"/>
    <w:rsid w:val="00B31896"/>
    <w:rsid w:val="00B31A9D"/>
    <w:rsid w:val="00B31CB0"/>
    <w:rsid w:val="00B3205F"/>
    <w:rsid w:val="00B33050"/>
    <w:rsid w:val="00B35398"/>
    <w:rsid w:val="00B35B52"/>
    <w:rsid w:val="00B36799"/>
    <w:rsid w:val="00B36F5A"/>
    <w:rsid w:val="00B42EDB"/>
    <w:rsid w:val="00B44403"/>
    <w:rsid w:val="00B449D6"/>
    <w:rsid w:val="00B458FE"/>
    <w:rsid w:val="00B45C73"/>
    <w:rsid w:val="00B45E0D"/>
    <w:rsid w:val="00B475D5"/>
    <w:rsid w:val="00B4780D"/>
    <w:rsid w:val="00B50B92"/>
    <w:rsid w:val="00B51605"/>
    <w:rsid w:val="00B51E7E"/>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B3"/>
    <w:rsid w:val="00B72E99"/>
    <w:rsid w:val="00B734CD"/>
    <w:rsid w:val="00B73F84"/>
    <w:rsid w:val="00B755C1"/>
    <w:rsid w:val="00B81280"/>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1CD2"/>
    <w:rsid w:val="00BB2327"/>
    <w:rsid w:val="00BB263C"/>
    <w:rsid w:val="00BB2D3F"/>
    <w:rsid w:val="00BB5A74"/>
    <w:rsid w:val="00BB67F3"/>
    <w:rsid w:val="00BC1C0B"/>
    <w:rsid w:val="00BC407B"/>
    <w:rsid w:val="00BC4391"/>
    <w:rsid w:val="00BC6DEA"/>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3AB8"/>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3FB1"/>
    <w:rsid w:val="00BF4806"/>
    <w:rsid w:val="00BF505F"/>
    <w:rsid w:val="00BF577E"/>
    <w:rsid w:val="00BF6D7C"/>
    <w:rsid w:val="00BF72AC"/>
    <w:rsid w:val="00BF73CE"/>
    <w:rsid w:val="00BF7DF4"/>
    <w:rsid w:val="00BF7DF6"/>
    <w:rsid w:val="00C001B2"/>
    <w:rsid w:val="00C01260"/>
    <w:rsid w:val="00C02573"/>
    <w:rsid w:val="00C02597"/>
    <w:rsid w:val="00C0347E"/>
    <w:rsid w:val="00C0389C"/>
    <w:rsid w:val="00C03C01"/>
    <w:rsid w:val="00C03DE5"/>
    <w:rsid w:val="00C042AE"/>
    <w:rsid w:val="00C0466C"/>
    <w:rsid w:val="00C04C69"/>
    <w:rsid w:val="00C0660C"/>
    <w:rsid w:val="00C102BA"/>
    <w:rsid w:val="00C11892"/>
    <w:rsid w:val="00C12591"/>
    <w:rsid w:val="00C12A2D"/>
    <w:rsid w:val="00C1307A"/>
    <w:rsid w:val="00C1383E"/>
    <w:rsid w:val="00C1412C"/>
    <w:rsid w:val="00C14DE9"/>
    <w:rsid w:val="00C151A2"/>
    <w:rsid w:val="00C166FF"/>
    <w:rsid w:val="00C16C45"/>
    <w:rsid w:val="00C16D18"/>
    <w:rsid w:val="00C21633"/>
    <w:rsid w:val="00C2220D"/>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4B66"/>
    <w:rsid w:val="00C45908"/>
    <w:rsid w:val="00C45A0A"/>
    <w:rsid w:val="00C45BBB"/>
    <w:rsid w:val="00C46536"/>
    <w:rsid w:val="00C470F4"/>
    <w:rsid w:val="00C4777E"/>
    <w:rsid w:val="00C510F2"/>
    <w:rsid w:val="00C51143"/>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665"/>
    <w:rsid w:val="00C66828"/>
    <w:rsid w:val="00C66A1C"/>
    <w:rsid w:val="00C70148"/>
    <w:rsid w:val="00C7022F"/>
    <w:rsid w:val="00C70274"/>
    <w:rsid w:val="00C70472"/>
    <w:rsid w:val="00C71832"/>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F6A"/>
    <w:rsid w:val="00C9492B"/>
    <w:rsid w:val="00C95BD8"/>
    <w:rsid w:val="00C95CAE"/>
    <w:rsid w:val="00C96081"/>
    <w:rsid w:val="00C97578"/>
    <w:rsid w:val="00C97961"/>
    <w:rsid w:val="00C97EA8"/>
    <w:rsid w:val="00CA03F5"/>
    <w:rsid w:val="00CA2082"/>
    <w:rsid w:val="00CA3378"/>
    <w:rsid w:val="00CA4D07"/>
    <w:rsid w:val="00CA5744"/>
    <w:rsid w:val="00CA5AE5"/>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D89"/>
    <w:rsid w:val="00CC3923"/>
    <w:rsid w:val="00CC4697"/>
    <w:rsid w:val="00CC4AB4"/>
    <w:rsid w:val="00CC4BBF"/>
    <w:rsid w:val="00CC4CD9"/>
    <w:rsid w:val="00CC4DD8"/>
    <w:rsid w:val="00CC6421"/>
    <w:rsid w:val="00CC6A55"/>
    <w:rsid w:val="00CD126E"/>
    <w:rsid w:val="00CD25AF"/>
    <w:rsid w:val="00CD2C22"/>
    <w:rsid w:val="00CD32D6"/>
    <w:rsid w:val="00CD5A4A"/>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0F98"/>
    <w:rsid w:val="00CF149A"/>
    <w:rsid w:val="00CF2A85"/>
    <w:rsid w:val="00CF4833"/>
    <w:rsid w:val="00CF4992"/>
    <w:rsid w:val="00CF54D7"/>
    <w:rsid w:val="00D01E16"/>
    <w:rsid w:val="00D0236D"/>
    <w:rsid w:val="00D0307B"/>
    <w:rsid w:val="00D0367F"/>
    <w:rsid w:val="00D04445"/>
    <w:rsid w:val="00D04F75"/>
    <w:rsid w:val="00D06725"/>
    <w:rsid w:val="00D06B23"/>
    <w:rsid w:val="00D0710A"/>
    <w:rsid w:val="00D07DCD"/>
    <w:rsid w:val="00D11D97"/>
    <w:rsid w:val="00D120CD"/>
    <w:rsid w:val="00D13BB2"/>
    <w:rsid w:val="00D15A4F"/>
    <w:rsid w:val="00D15D79"/>
    <w:rsid w:val="00D16CCD"/>
    <w:rsid w:val="00D2016F"/>
    <w:rsid w:val="00D20B00"/>
    <w:rsid w:val="00D23C71"/>
    <w:rsid w:val="00D23E6F"/>
    <w:rsid w:val="00D244A2"/>
    <w:rsid w:val="00D24E24"/>
    <w:rsid w:val="00D251E4"/>
    <w:rsid w:val="00D254FB"/>
    <w:rsid w:val="00D26254"/>
    <w:rsid w:val="00D266E6"/>
    <w:rsid w:val="00D27933"/>
    <w:rsid w:val="00D309FE"/>
    <w:rsid w:val="00D30E88"/>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515E"/>
    <w:rsid w:val="00D4554D"/>
    <w:rsid w:val="00D457D8"/>
    <w:rsid w:val="00D45A44"/>
    <w:rsid w:val="00D46205"/>
    <w:rsid w:val="00D46547"/>
    <w:rsid w:val="00D46E89"/>
    <w:rsid w:val="00D474D1"/>
    <w:rsid w:val="00D47BBE"/>
    <w:rsid w:val="00D52006"/>
    <w:rsid w:val="00D52225"/>
    <w:rsid w:val="00D528E9"/>
    <w:rsid w:val="00D53F47"/>
    <w:rsid w:val="00D545B1"/>
    <w:rsid w:val="00D5522E"/>
    <w:rsid w:val="00D552B0"/>
    <w:rsid w:val="00D554D9"/>
    <w:rsid w:val="00D56154"/>
    <w:rsid w:val="00D57926"/>
    <w:rsid w:val="00D608ED"/>
    <w:rsid w:val="00D610B1"/>
    <w:rsid w:val="00D614F0"/>
    <w:rsid w:val="00D6295A"/>
    <w:rsid w:val="00D6429C"/>
    <w:rsid w:val="00D64E62"/>
    <w:rsid w:val="00D664BE"/>
    <w:rsid w:val="00D707BE"/>
    <w:rsid w:val="00D71ABE"/>
    <w:rsid w:val="00D720AC"/>
    <w:rsid w:val="00D7327A"/>
    <w:rsid w:val="00D75255"/>
    <w:rsid w:val="00D7572F"/>
    <w:rsid w:val="00D75DBB"/>
    <w:rsid w:val="00D76BF5"/>
    <w:rsid w:val="00D76E90"/>
    <w:rsid w:val="00D77C26"/>
    <w:rsid w:val="00D77C8E"/>
    <w:rsid w:val="00D77E73"/>
    <w:rsid w:val="00D818E0"/>
    <w:rsid w:val="00D83BB1"/>
    <w:rsid w:val="00D85319"/>
    <w:rsid w:val="00D866C7"/>
    <w:rsid w:val="00D86D5B"/>
    <w:rsid w:val="00D87641"/>
    <w:rsid w:val="00D87D62"/>
    <w:rsid w:val="00D903AB"/>
    <w:rsid w:val="00D90B9B"/>
    <w:rsid w:val="00D92887"/>
    <w:rsid w:val="00D931C0"/>
    <w:rsid w:val="00D9373C"/>
    <w:rsid w:val="00D93DB5"/>
    <w:rsid w:val="00D95C64"/>
    <w:rsid w:val="00D95F7B"/>
    <w:rsid w:val="00D96E3E"/>
    <w:rsid w:val="00DA1069"/>
    <w:rsid w:val="00DA13F2"/>
    <w:rsid w:val="00DA31A9"/>
    <w:rsid w:val="00DA47FB"/>
    <w:rsid w:val="00DA4AEE"/>
    <w:rsid w:val="00DA6510"/>
    <w:rsid w:val="00DA67A2"/>
    <w:rsid w:val="00DA7299"/>
    <w:rsid w:val="00DA7AED"/>
    <w:rsid w:val="00DA7D23"/>
    <w:rsid w:val="00DB0211"/>
    <w:rsid w:val="00DB3B32"/>
    <w:rsid w:val="00DB434E"/>
    <w:rsid w:val="00DB47ED"/>
    <w:rsid w:val="00DB4FFA"/>
    <w:rsid w:val="00DB5A87"/>
    <w:rsid w:val="00DB72C0"/>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770"/>
    <w:rsid w:val="00DE289C"/>
    <w:rsid w:val="00DE2DFE"/>
    <w:rsid w:val="00DE32B8"/>
    <w:rsid w:val="00DE3DBD"/>
    <w:rsid w:val="00DE422B"/>
    <w:rsid w:val="00DE53CC"/>
    <w:rsid w:val="00DE55E5"/>
    <w:rsid w:val="00DE5A45"/>
    <w:rsid w:val="00DE6915"/>
    <w:rsid w:val="00DF0C29"/>
    <w:rsid w:val="00DF253D"/>
    <w:rsid w:val="00DF254C"/>
    <w:rsid w:val="00DF2AB7"/>
    <w:rsid w:val="00DF2AC5"/>
    <w:rsid w:val="00DF2C4F"/>
    <w:rsid w:val="00DF41E3"/>
    <w:rsid w:val="00DF46DD"/>
    <w:rsid w:val="00DF59D4"/>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4576"/>
    <w:rsid w:val="00E2478E"/>
    <w:rsid w:val="00E2492C"/>
    <w:rsid w:val="00E24B38"/>
    <w:rsid w:val="00E25501"/>
    <w:rsid w:val="00E25690"/>
    <w:rsid w:val="00E25EB6"/>
    <w:rsid w:val="00E27055"/>
    <w:rsid w:val="00E301E0"/>
    <w:rsid w:val="00E302CD"/>
    <w:rsid w:val="00E309BE"/>
    <w:rsid w:val="00E30FB8"/>
    <w:rsid w:val="00E31D1C"/>
    <w:rsid w:val="00E327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326"/>
    <w:rsid w:val="00E56B9E"/>
    <w:rsid w:val="00E60651"/>
    <w:rsid w:val="00E62357"/>
    <w:rsid w:val="00E62E04"/>
    <w:rsid w:val="00E64CDD"/>
    <w:rsid w:val="00E651ED"/>
    <w:rsid w:val="00E654A3"/>
    <w:rsid w:val="00E65EE5"/>
    <w:rsid w:val="00E66D50"/>
    <w:rsid w:val="00E675F9"/>
    <w:rsid w:val="00E7032B"/>
    <w:rsid w:val="00E73502"/>
    <w:rsid w:val="00E7452D"/>
    <w:rsid w:val="00E760E5"/>
    <w:rsid w:val="00E77033"/>
    <w:rsid w:val="00E8084B"/>
    <w:rsid w:val="00E81726"/>
    <w:rsid w:val="00E81E49"/>
    <w:rsid w:val="00E83823"/>
    <w:rsid w:val="00E859F8"/>
    <w:rsid w:val="00E85B34"/>
    <w:rsid w:val="00E85EBB"/>
    <w:rsid w:val="00E90469"/>
    <w:rsid w:val="00E90B2B"/>
    <w:rsid w:val="00E90BC4"/>
    <w:rsid w:val="00E910F3"/>
    <w:rsid w:val="00E9161E"/>
    <w:rsid w:val="00E92C38"/>
    <w:rsid w:val="00E96309"/>
    <w:rsid w:val="00E96CE3"/>
    <w:rsid w:val="00E97509"/>
    <w:rsid w:val="00E976E9"/>
    <w:rsid w:val="00EA0E71"/>
    <w:rsid w:val="00EA136E"/>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4E68"/>
    <w:rsid w:val="00EB6381"/>
    <w:rsid w:val="00EB70B5"/>
    <w:rsid w:val="00EB7742"/>
    <w:rsid w:val="00EC0AAD"/>
    <w:rsid w:val="00EC208D"/>
    <w:rsid w:val="00EC221B"/>
    <w:rsid w:val="00EC2C2D"/>
    <w:rsid w:val="00EC2C82"/>
    <w:rsid w:val="00EC432C"/>
    <w:rsid w:val="00EC464D"/>
    <w:rsid w:val="00EC6DC6"/>
    <w:rsid w:val="00EC7361"/>
    <w:rsid w:val="00EC7A81"/>
    <w:rsid w:val="00ED0180"/>
    <w:rsid w:val="00ED0A49"/>
    <w:rsid w:val="00ED16DC"/>
    <w:rsid w:val="00ED1F96"/>
    <w:rsid w:val="00ED5AB7"/>
    <w:rsid w:val="00ED6594"/>
    <w:rsid w:val="00ED72B8"/>
    <w:rsid w:val="00EE077A"/>
    <w:rsid w:val="00EE115B"/>
    <w:rsid w:val="00EE231F"/>
    <w:rsid w:val="00EE23C3"/>
    <w:rsid w:val="00EE3462"/>
    <w:rsid w:val="00EE56A6"/>
    <w:rsid w:val="00EE5831"/>
    <w:rsid w:val="00EE5A03"/>
    <w:rsid w:val="00EE7201"/>
    <w:rsid w:val="00EE7215"/>
    <w:rsid w:val="00EE752A"/>
    <w:rsid w:val="00EE782C"/>
    <w:rsid w:val="00EF1414"/>
    <w:rsid w:val="00EF1A6E"/>
    <w:rsid w:val="00EF1A73"/>
    <w:rsid w:val="00EF1F45"/>
    <w:rsid w:val="00EF2869"/>
    <w:rsid w:val="00EF2AA5"/>
    <w:rsid w:val="00EF3AD5"/>
    <w:rsid w:val="00EF4562"/>
    <w:rsid w:val="00EF49B3"/>
    <w:rsid w:val="00EF4F41"/>
    <w:rsid w:val="00EF5F2D"/>
    <w:rsid w:val="00EF6481"/>
    <w:rsid w:val="00F00F06"/>
    <w:rsid w:val="00F0154D"/>
    <w:rsid w:val="00F0249F"/>
    <w:rsid w:val="00F02C25"/>
    <w:rsid w:val="00F04C5E"/>
    <w:rsid w:val="00F04F1D"/>
    <w:rsid w:val="00F0607E"/>
    <w:rsid w:val="00F06A24"/>
    <w:rsid w:val="00F06AAD"/>
    <w:rsid w:val="00F06F88"/>
    <w:rsid w:val="00F11B12"/>
    <w:rsid w:val="00F12FE1"/>
    <w:rsid w:val="00F13345"/>
    <w:rsid w:val="00F133E7"/>
    <w:rsid w:val="00F15DAC"/>
    <w:rsid w:val="00F16583"/>
    <w:rsid w:val="00F20C69"/>
    <w:rsid w:val="00F21B3A"/>
    <w:rsid w:val="00F22C85"/>
    <w:rsid w:val="00F22F28"/>
    <w:rsid w:val="00F2309D"/>
    <w:rsid w:val="00F239C5"/>
    <w:rsid w:val="00F250ED"/>
    <w:rsid w:val="00F255B7"/>
    <w:rsid w:val="00F26796"/>
    <w:rsid w:val="00F2706B"/>
    <w:rsid w:val="00F27273"/>
    <w:rsid w:val="00F27AB9"/>
    <w:rsid w:val="00F30813"/>
    <w:rsid w:val="00F30A69"/>
    <w:rsid w:val="00F30AD9"/>
    <w:rsid w:val="00F31298"/>
    <w:rsid w:val="00F32209"/>
    <w:rsid w:val="00F3283C"/>
    <w:rsid w:val="00F3289B"/>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43A"/>
    <w:rsid w:val="00F54680"/>
    <w:rsid w:val="00F55118"/>
    <w:rsid w:val="00F55D93"/>
    <w:rsid w:val="00F5649A"/>
    <w:rsid w:val="00F60308"/>
    <w:rsid w:val="00F60F2B"/>
    <w:rsid w:val="00F61DE9"/>
    <w:rsid w:val="00F620E8"/>
    <w:rsid w:val="00F63711"/>
    <w:rsid w:val="00F649E5"/>
    <w:rsid w:val="00F650F8"/>
    <w:rsid w:val="00F655E7"/>
    <w:rsid w:val="00F6579B"/>
    <w:rsid w:val="00F65CF5"/>
    <w:rsid w:val="00F66131"/>
    <w:rsid w:val="00F66213"/>
    <w:rsid w:val="00F676B1"/>
    <w:rsid w:val="00F67D3F"/>
    <w:rsid w:val="00F70F4C"/>
    <w:rsid w:val="00F746CA"/>
    <w:rsid w:val="00F74FF9"/>
    <w:rsid w:val="00F755E3"/>
    <w:rsid w:val="00F75EB9"/>
    <w:rsid w:val="00F76E3E"/>
    <w:rsid w:val="00F773BD"/>
    <w:rsid w:val="00F77892"/>
    <w:rsid w:val="00F806FF"/>
    <w:rsid w:val="00F80CD1"/>
    <w:rsid w:val="00F824D5"/>
    <w:rsid w:val="00F82F23"/>
    <w:rsid w:val="00F8486D"/>
    <w:rsid w:val="00F8524C"/>
    <w:rsid w:val="00F85DCE"/>
    <w:rsid w:val="00F86380"/>
    <w:rsid w:val="00F872D6"/>
    <w:rsid w:val="00F9009E"/>
    <w:rsid w:val="00F90674"/>
    <w:rsid w:val="00F90A1C"/>
    <w:rsid w:val="00F91ECA"/>
    <w:rsid w:val="00F923F0"/>
    <w:rsid w:val="00F94ED0"/>
    <w:rsid w:val="00F95202"/>
    <w:rsid w:val="00F95F89"/>
    <w:rsid w:val="00F96755"/>
    <w:rsid w:val="00F967E5"/>
    <w:rsid w:val="00F97D36"/>
    <w:rsid w:val="00FA0866"/>
    <w:rsid w:val="00FA0BE7"/>
    <w:rsid w:val="00FA11F5"/>
    <w:rsid w:val="00FA3373"/>
    <w:rsid w:val="00FA36F4"/>
    <w:rsid w:val="00FA3B59"/>
    <w:rsid w:val="00FA486B"/>
    <w:rsid w:val="00FA568E"/>
    <w:rsid w:val="00FA5A69"/>
    <w:rsid w:val="00FA655C"/>
    <w:rsid w:val="00FB181A"/>
    <w:rsid w:val="00FB1BCF"/>
    <w:rsid w:val="00FB21AF"/>
    <w:rsid w:val="00FB26A2"/>
    <w:rsid w:val="00FB28BF"/>
    <w:rsid w:val="00FB2D87"/>
    <w:rsid w:val="00FB39A3"/>
    <w:rsid w:val="00FB3A2B"/>
    <w:rsid w:val="00FB3CF6"/>
    <w:rsid w:val="00FB41B0"/>
    <w:rsid w:val="00FB6151"/>
    <w:rsid w:val="00FB6299"/>
    <w:rsid w:val="00FB6BCE"/>
    <w:rsid w:val="00FB7B65"/>
    <w:rsid w:val="00FC0562"/>
    <w:rsid w:val="00FC0C89"/>
    <w:rsid w:val="00FC0E87"/>
    <w:rsid w:val="00FC1765"/>
    <w:rsid w:val="00FC22B4"/>
    <w:rsid w:val="00FC3137"/>
    <w:rsid w:val="00FC3138"/>
    <w:rsid w:val="00FC3B4D"/>
    <w:rsid w:val="00FC43D5"/>
    <w:rsid w:val="00FC5F52"/>
    <w:rsid w:val="00FC7897"/>
    <w:rsid w:val="00FD098C"/>
    <w:rsid w:val="00FD0DD2"/>
    <w:rsid w:val="00FD127B"/>
    <w:rsid w:val="00FD2E42"/>
    <w:rsid w:val="00FD2F9A"/>
    <w:rsid w:val="00FD3EE6"/>
    <w:rsid w:val="00FD3F2A"/>
    <w:rsid w:val="00FD55D2"/>
    <w:rsid w:val="00FD56B6"/>
    <w:rsid w:val="00FD7460"/>
    <w:rsid w:val="00FD7DA8"/>
    <w:rsid w:val="00FE0D48"/>
    <w:rsid w:val="00FE1388"/>
    <w:rsid w:val="00FE14F7"/>
    <w:rsid w:val="00FE2653"/>
    <w:rsid w:val="00FE349E"/>
    <w:rsid w:val="00FE3970"/>
    <w:rsid w:val="00FE3AF2"/>
    <w:rsid w:val="00FE42A4"/>
    <w:rsid w:val="00FE5A68"/>
    <w:rsid w:val="00FE5B0A"/>
    <w:rsid w:val="00FE69F8"/>
    <w:rsid w:val="00FE755A"/>
    <w:rsid w:val="00FF034F"/>
    <w:rsid w:val="00FF1929"/>
    <w:rsid w:val="00FF23C4"/>
    <w:rsid w:val="00FF263C"/>
    <w:rsid w:val="00FF3213"/>
    <w:rsid w:val="00FF3F66"/>
    <w:rsid w:val="00FF4C90"/>
    <w:rsid w:val="00FF4D13"/>
    <w:rsid w:val="00FF4EC2"/>
    <w:rsid w:val="00FF559D"/>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15:docId w15:val="{B0E4ED17-3840-428E-B562-3879D259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qFormat/>
    <w:rsid w:val="00F21B3A"/>
    <w:pPr>
      <w:keepNext/>
      <w:numPr>
        <w:numId w:val="3"/>
      </w:numPr>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qFormat/>
    <w:rsid w:val="00D52006"/>
    <w:pPr>
      <w:keepNext/>
      <w:numPr>
        <w:ilvl w:val="1"/>
        <w:numId w:val="3"/>
      </w:numPr>
      <w:tabs>
        <w:tab w:val="clear" w:pos="1134"/>
        <w:tab w:val="num" w:pos="851"/>
      </w:tabs>
      <w:spacing w:before="360" w:after="120"/>
      <w:ind w:left="851"/>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numPr>
        <w:ilvl w:val="0"/>
        <w:numId w:val="0"/>
      </w:numPr>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numPr>
        <w:numId w:val="0"/>
      </w:numPr>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nrolment.adoption@smartdcc.co.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sultations@smartdcc.co.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murphy@stark.co.uk" TargetMode="Externa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NDYQVYFD76VK-1947674797-381</_dlc_DocId>
    <_dlc_DocIdUrl xmlns="a506c0bb-1327-4a28-8c99-5f231145fa20">
      <Url>https://smartdcc.sharepoint.com/sites/DCCChargingReview/_layouts/15/DocIdRedir.aspx?ID=NDYQVYFD76VK-1947674797-381</Url>
      <Description>NDYQVYFD76VK-1947674797-381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2.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3.xml><?xml version="1.0" encoding="utf-8"?>
<ds:datastoreItem xmlns:ds="http://schemas.openxmlformats.org/officeDocument/2006/customXml" ds:itemID="{ACD49DEB-D984-461B-A11F-A61BA6BCE360}">
  <ds:schemaRefs>
    <ds:schemaRef ds:uri="http://schemas.microsoft.com/sharepoint/events"/>
  </ds:schemaRefs>
</ds:datastoreItem>
</file>

<file path=customXml/itemProps4.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a506c0bb-1327-4a28-8c99-5f231145fa20"/>
  </ds:schemaRefs>
</ds:datastoreItem>
</file>

<file path=customXml/itemProps5.xml><?xml version="1.0" encoding="utf-8"?>
<ds:datastoreItem xmlns:ds="http://schemas.openxmlformats.org/officeDocument/2006/customXml" ds:itemID="{BA0B7C3D-53E2-4F0F-ACEE-B6EB05094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Murphy</dc:creator>
  <cp:lastModifiedBy>Hehir, Joseph (DCC)</cp:lastModifiedBy>
  <cp:revision>5</cp:revision>
  <dcterms:created xsi:type="dcterms:W3CDTF">2025-01-28T10:20:00Z</dcterms:created>
  <dcterms:modified xsi:type="dcterms:W3CDTF">2025-02-25T12:09:00Z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29ac2973-fc5d-4b83-97c0-ef81f569a5b1</vt:lpwstr>
  </property>
  <property fmtid="{D5CDD505-2E9C-101B-9397-08002B2CF9AE}" pid="19" name="SmartDCCDocumentType">
    <vt:lpwstr/>
  </property>
  <property fmtid="{D5CDD505-2E9C-101B-9397-08002B2CF9AE}" pid="20" name="SmartDCCSecurityClassification">
    <vt:lpwstr/>
  </property>
  <property fmtid="{D5CDD505-2E9C-101B-9397-08002B2CF9AE}" pid="21" name="DCCRelease">
    <vt:lpwstr/>
  </property>
  <property fmtid="{D5CDD505-2E9C-101B-9397-08002B2CF9AE}" pid="22" name="DCCDocumentStatus">
    <vt:lpwstr/>
  </property>
  <property fmtid="{D5CDD505-2E9C-101B-9397-08002B2CF9AE}" pid="23" name="DCCDepartment">
    <vt:lpwstr/>
  </property>
</Properties>
</file>